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DA" w:rsidRPr="00B72F43" w:rsidRDefault="006406BB" w:rsidP="00B72F43">
      <w:pPr>
        <w:jc w:val="center"/>
        <w:rPr>
          <w:b/>
        </w:rPr>
      </w:pPr>
      <w:r w:rsidRPr="00B72F43">
        <w:rPr>
          <w:b/>
        </w:rPr>
        <w:t>Music for Recovery Results</w:t>
      </w:r>
      <w:r w:rsidR="00B72F43" w:rsidRPr="00B72F43">
        <w:rPr>
          <w:b/>
        </w:rPr>
        <w:br/>
      </w:r>
      <w:r w:rsidR="000246DA" w:rsidRPr="00B72F43">
        <w:rPr>
          <w:b/>
        </w:rPr>
        <w:t>Nilo Fall</w:t>
      </w:r>
      <w:r w:rsidR="000C2ABE" w:rsidRPr="00B72F43">
        <w:rPr>
          <w:b/>
        </w:rPr>
        <w:t>ah</w:t>
      </w:r>
      <w:r w:rsidR="000246DA" w:rsidRPr="00B72F43">
        <w:rPr>
          <w:b/>
        </w:rPr>
        <w:t>-Sohy and John F. Kelly</w:t>
      </w:r>
    </w:p>
    <w:p w:rsidR="00B72F43" w:rsidRPr="00B72F43" w:rsidRDefault="00B3034E" w:rsidP="00B72F43">
      <w:pPr>
        <w:rPr>
          <w:bCs/>
        </w:rPr>
      </w:pPr>
      <w:r w:rsidRPr="00B72F43">
        <w:rPr>
          <w:b/>
          <w:bCs/>
        </w:rPr>
        <w:t>BACKGROUND:</w:t>
      </w:r>
      <w:r w:rsidR="00B72F43">
        <w:rPr>
          <w:bCs/>
        </w:rPr>
        <w:t xml:space="preserve"> </w:t>
      </w:r>
      <w:r w:rsidR="00997026" w:rsidRPr="00B72F43">
        <w:rPr>
          <w:bCs/>
        </w:rPr>
        <w:t xml:space="preserve">Carr et al. (2013) cite the need for further attention to Music Therapy’s effects in inpatient settings. Drawing a link between the theoretical concepts of group therapy and data </w:t>
      </w:r>
      <w:r w:rsidR="00B70AB1" w:rsidRPr="00B72F43">
        <w:rPr>
          <w:bCs/>
        </w:rPr>
        <w:t xml:space="preserve">specifically </w:t>
      </w:r>
      <w:r w:rsidR="00997026" w:rsidRPr="00B72F43">
        <w:rPr>
          <w:bCs/>
        </w:rPr>
        <w:t xml:space="preserve">evaluating Music Therapy </w:t>
      </w:r>
      <w:r w:rsidR="00A814B6" w:rsidRPr="00B72F43">
        <w:rPr>
          <w:bCs/>
        </w:rPr>
        <w:t xml:space="preserve">programs </w:t>
      </w:r>
      <w:r w:rsidR="00997026" w:rsidRPr="00B72F43">
        <w:rPr>
          <w:bCs/>
        </w:rPr>
        <w:t xml:space="preserve">seems suited to the incipient status of much of this work. </w:t>
      </w:r>
      <w:proofErr w:type="spellStart"/>
      <w:r w:rsidR="00997026" w:rsidRPr="00B72F43">
        <w:rPr>
          <w:bCs/>
        </w:rPr>
        <w:t>Yalom’s</w:t>
      </w:r>
      <w:proofErr w:type="spellEnd"/>
      <w:r w:rsidR="00997026" w:rsidRPr="00B72F43">
        <w:rPr>
          <w:bCs/>
        </w:rPr>
        <w:t xml:space="preserve"> Therapeutic Factors (TFs) are a widely accepted theoretical framework for the aspects of group therapy that serve to effect change in group members (1995).</w:t>
      </w:r>
      <w:r w:rsidR="00AF2B0A" w:rsidRPr="00B72F43">
        <w:rPr>
          <w:bCs/>
        </w:rPr>
        <w:t xml:space="preserve"> </w:t>
      </w:r>
      <w:r w:rsidR="00997026" w:rsidRPr="00B72F43">
        <w:rPr>
          <w:bCs/>
        </w:rPr>
        <w:t xml:space="preserve">Music Therapy appears to derive its therapeutic effects from an interaction of these factors. </w:t>
      </w:r>
      <w:r w:rsidR="00B70AB1" w:rsidRPr="00B72F43">
        <w:rPr>
          <w:bCs/>
        </w:rPr>
        <w:t>Current</w:t>
      </w:r>
      <w:r w:rsidR="00997026" w:rsidRPr="00B72F43">
        <w:rPr>
          <w:bCs/>
        </w:rPr>
        <w:t xml:space="preserve"> literature documents Music Therapy’s ability to instill reconnection with previous states, companionship amongst </w:t>
      </w:r>
      <w:r w:rsidR="00A814B6" w:rsidRPr="00B72F43">
        <w:rPr>
          <w:bCs/>
        </w:rPr>
        <w:t>the group</w:t>
      </w:r>
      <w:r w:rsidR="00997026" w:rsidRPr="00B72F43">
        <w:rPr>
          <w:bCs/>
        </w:rPr>
        <w:t xml:space="preserve">, </w:t>
      </w:r>
      <w:r w:rsidR="00A814B6" w:rsidRPr="00B72F43">
        <w:rPr>
          <w:bCs/>
        </w:rPr>
        <w:t>and perceived</w:t>
      </w:r>
      <w:r w:rsidR="00997026" w:rsidRPr="00B72F43">
        <w:rPr>
          <w:bCs/>
        </w:rPr>
        <w:t xml:space="preserve"> equality with the therapist unique to the music modality, </w:t>
      </w:r>
      <w:r w:rsidR="00A814B6" w:rsidRPr="00B72F43">
        <w:rPr>
          <w:bCs/>
        </w:rPr>
        <w:t>as well as</w:t>
      </w:r>
      <w:r w:rsidR="00997026" w:rsidRPr="00B72F43">
        <w:rPr>
          <w:bCs/>
        </w:rPr>
        <w:t xml:space="preserve"> instillation of hope and positive expression (</w:t>
      </w:r>
      <w:proofErr w:type="spellStart"/>
      <w:r w:rsidR="00997026" w:rsidRPr="00B72F43">
        <w:rPr>
          <w:bCs/>
        </w:rPr>
        <w:t>Ansdell</w:t>
      </w:r>
      <w:proofErr w:type="spellEnd"/>
      <w:r w:rsidR="00997026" w:rsidRPr="00B72F43">
        <w:rPr>
          <w:bCs/>
        </w:rPr>
        <w:t xml:space="preserve"> and Meehan, 2010). </w:t>
      </w:r>
    </w:p>
    <w:p w:rsidR="009D1BAC" w:rsidRPr="00B72F43" w:rsidRDefault="009D1BAC" w:rsidP="00B72F43">
      <w:r w:rsidRPr="00B72F43">
        <w:rPr>
          <w:bCs/>
        </w:rPr>
        <w:t xml:space="preserve">“Music for Recovery” (MFR) is one such example of Music </w:t>
      </w:r>
      <w:r w:rsidR="001E42A5" w:rsidRPr="00B72F43">
        <w:rPr>
          <w:bCs/>
        </w:rPr>
        <w:t>Therapy which</w:t>
      </w:r>
      <w:r w:rsidR="00C70798" w:rsidRPr="00B72F43">
        <w:rPr>
          <w:bCs/>
        </w:rPr>
        <w:t xml:space="preserve"> is available </w:t>
      </w:r>
      <w:r w:rsidR="001E42A5" w:rsidRPr="00B72F43">
        <w:rPr>
          <w:bCs/>
        </w:rPr>
        <w:t>to</w:t>
      </w:r>
      <w:r w:rsidR="00C70798" w:rsidRPr="00B72F43">
        <w:rPr>
          <w:bCs/>
        </w:rPr>
        <w:t xml:space="preserve"> </w:t>
      </w:r>
      <w:r w:rsidR="00A814B6" w:rsidRPr="00B72F43">
        <w:rPr>
          <w:bCs/>
        </w:rPr>
        <w:t>facilities offering services</w:t>
      </w:r>
      <w:r w:rsidR="001E42A5" w:rsidRPr="00B72F43">
        <w:rPr>
          <w:bCs/>
        </w:rPr>
        <w:t xml:space="preserve"> to patients with substance use disorders</w:t>
      </w:r>
      <w:r w:rsidRPr="00B72F43">
        <w:rPr>
          <w:bCs/>
        </w:rPr>
        <w:t xml:space="preserve">. The MFR program, run by a musician in long-term recovery, </w:t>
      </w:r>
      <w:r w:rsidR="00C70798" w:rsidRPr="00B72F43">
        <w:rPr>
          <w:bCs/>
        </w:rPr>
        <w:t>offers</w:t>
      </w:r>
      <w:r w:rsidRPr="00B72F43">
        <w:rPr>
          <w:bCs/>
        </w:rPr>
        <w:t xml:space="preserve"> </w:t>
      </w:r>
      <w:r w:rsidR="00C70798" w:rsidRPr="00B72F43">
        <w:rPr>
          <w:bCs/>
        </w:rPr>
        <w:t xml:space="preserve">on-site </w:t>
      </w:r>
      <w:r w:rsidRPr="00B72F43">
        <w:rPr>
          <w:bCs/>
        </w:rPr>
        <w:t xml:space="preserve">recovery songwriting workshops and performances to </w:t>
      </w:r>
      <w:r w:rsidR="00F50DE8" w:rsidRPr="00B72F43">
        <w:rPr>
          <w:bCs/>
        </w:rPr>
        <w:t xml:space="preserve">explore how creativity can support recovery and enhance treatment experiences. A program evaluation was developed to measure the therapeutic effects </w:t>
      </w:r>
      <w:r w:rsidR="00A814B6" w:rsidRPr="00B72F43">
        <w:rPr>
          <w:bCs/>
        </w:rPr>
        <w:t>of participation in MFR in patients of residential addiction treatment facilities.</w:t>
      </w:r>
    </w:p>
    <w:p w:rsidR="00B72F43" w:rsidRDefault="00B3034E" w:rsidP="00912DD3">
      <w:pPr>
        <w:spacing w:after="240"/>
        <w:rPr>
          <w:bCs/>
        </w:rPr>
      </w:pPr>
      <w:r w:rsidRPr="00B72F43">
        <w:rPr>
          <w:b/>
          <w:bCs/>
        </w:rPr>
        <w:t xml:space="preserve">METHOD: </w:t>
      </w:r>
      <w:r w:rsidR="001E42A5" w:rsidRPr="00B72F43">
        <w:rPr>
          <w:bCs/>
        </w:rPr>
        <w:t xml:space="preserve">Research staff </w:t>
      </w:r>
      <w:r w:rsidR="002F2E9E" w:rsidRPr="00B72F43">
        <w:rPr>
          <w:bCs/>
        </w:rPr>
        <w:t>at the Recovery Research Institute at the Massachusetts General Hospital, Harvard Medical School Psychiatry</w:t>
      </w:r>
      <w:r w:rsidR="00657663" w:rsidRPr="00B72F43">
        <w:rPr>
          <w:bCs/>
        </w:rPr>
        <w:t xml:space="preserve"> Department</w:t>
      </w:r>
      <w:r w:rsidR="002F2E9E" w:rsidRPr="00B72F43">
        <w:rPr>
          <w:bCs/>
        </w:rPr>
        <w:t xml:space="preserve">, </w:t>
      </w:r>
      <w:r w:rsidR="001E42A5" w:rsidRPr="00B72F43">
        <w:rPr>
          <w:bCs/>
        </w:rPr>
        <w:t>developed a 10-</w:t>
      </w:r>
      <w:r w:rsidR="002F2E9E" w:rsidRPr="00B72F43">
        <w:rPr>
          <w:bCs/>
        </w:rPr>
        <w:t>item</w:t>
      </w:r>
      <w:r w:rsidR="001E42A5" w:rsidRPr="00B72F43">
        <w:rPr>
          <w:bCs/>
        </w:rPr>
        <w:t xml:space="preserve"> questionnaire </w:t>
      </w:r>
      <w:r w:rsidR="00DC5D0D" w:rsidRPr="00B72F43">
        <w:rPr>
          <w:bCs/>
        </w:rPr>
        <w:t>to assess pre</w:t>
      </w:r>
      <w:r w:rsidR="00634AE1" w:rsidRPr="00B72F43">
        <w:rPr>
          <w:bCs/>
        </w:rPr>
        <w:t>- to</w:t>
      </w:r>
      <w:r w:rsidR="00DC5D0D" w:rsidRPr="00B72F43">
        <w:rPr>
          <w:bCs/>
        </w:rPr>
        <w:t xml:space="preserve"> </w:t>
      </w:r>
      <w:r w:rsidR="001E42A5" w:rsidRPr="00B72F43">
        <w:rPr>
          <w:bCs/>
        </w:rPr>
        <w:t>post- change</w:t>
      </w:r>
      <w:r w:rsidR="00DC5D0D" w:rsidRPr="00B72F43">
        <w:rPr>
          <w:bCs/>
        </w:rPr>
        <w:t>s</w:t>
      </w:r>
      <w:r w:rsidR="001E42A5" w:rsidRPr="00B72F43">
        <w:rPr>
          <w:bCs/>
        </w:rPr>
        <w:t xml:space="preserve"> in </w:t>
      </w:r>
      <w:r w:rsidR="00DC5D0D" w:rsidRPr="00B72F43">
        <w:rPr>
          <w:bCs/>
        </w:rPr>
        <w:t xml:space="preserve">common </w:t>
      </w:r>
      <w:r w:rsidR="002F2E9E" w:rsidRPr="00B72F43">
        <w:rPr>
          <w:bCs/>
        </w:rPr>
        <w:t xml:space="preserve">therapeutic </w:t>
      </w:r>
      <w:r w:rsidR="00DC5D0D" w:rsidRPr="00B72F43">
        <w:rPr>
          <w:bCs/>
        </w:rPr>
        <w:t xml:space="preserve">elements </w:t>
      </w:r>
      <w:r w:rsidR="002F2E9E" w:rsidRPr="00B72F43">
        <w:rPr>
          <w:bCs/>
        </w:rPr>
        <w:t xml:space="preserve">among </w:t>
      </w:r>
      <w:r w:rsidR="001E42A5" w:rsidRPr="00B72F43">
        <w:rPr>
          <w:bCs/>
        </w:rPr>
        <w:t xml:space="preserve">patients </w:t>
      </w:r>
      <w:r w:rsidR="002F2E9E" w:rsidRPr="00B72F43">
        <w:rPr>
          <w:bCs/>
        </w:rPr>
        <w:t xml:space="preserve">treated for </w:t>
      </w:r>
      <w:r w:rsidR="001E42A5" w:rsidRPr="00B72F43">
        <w:rPr>
          <w:bCs/>
        </w:rPr>
        <w:t xml:space="preserve">addiction </w:t>
      </w:r>
      <w:r w:rsidR="002F2E9E" w:rsidRPr="00B72F43">
        <w:rPr>
          <w:bCs/>
        </w:rPr>
        <w:t xml:space="preserve">in </w:t>
      </w:r>
      <w:r w:rsidR="001E42A5" w:rsidRPr="00B72F43">
        <w:rPr>
          <w:bCs/>
        </w:rPr>
        <w:t xml:space="preserve">residential treatment facilities as a function of participating in the Music for Recovery (MFR) program. </w:t>
      </w:r>
      <w:r w:rsidR="00AF2B0A" w:rsidRPr="00B72F43">
        <w:rPr>
          <w:bCs/>
        </w:rPr>
        <w:t xml:space="preserve">In order to develop </w:t>
      </w:r>
      <w:r w:rsidR="00634AE1" w:rsidRPr="00B72F43">
        <w:rPr>
          <w:bCs/>
        </w:rPr>
        <w:t>the</w:t>
      </w:r>
      <w:r w:rsidR="00DC5D0D" w:rsidRPr="00B72F43">
        <w:rPr>
          <w:bCs/>
        </w:rPr>
        <w:t xml:space="preserve"> </w:t>
      </w:r>
      <w:r w:rsidR="00AF2B0A" w:rsidRPr="00B72F43">
        <w:rPr>
          <w:bCs/>
        </w:rPr>
        <w:t xml:space="preserve">assessment, we evaluated </w:t>
      </w:r>
      <w:r w:rsidR="002F2E9E" w:rsidRPr="00B72F43">
        <w:rPr>
          <w:bCs/>
        </w:rPr>
        <w:t xml:space="preserve">164 written </w:t>
      </w:r>
      <w:r w:rsidR="00AF2B0A" w:rsidRPr="00B72F43">
        <w:rPr>
          <w:bCs/>
        </w:rPr>
        <w:t xml:space="preserve">narrative </w:t>
      </w:r>
      <w:r w:rsidR="002F2E9E" w:rsidRPr="00B72F43">
        <w:rPr>
          <w:bCs/>
        </w:rPr>
        <w:t>self-</w:t>
      </w:r>
      <w:r w:rsidR="00AF2B0A" w:rsidRPr="00B72F43">
        <w:rPr>
          <w:bCs/>
        </w:rPr>
        <w:t>reports from</w:t>
      </w:r>
      <w:r w:rsidR="002F2E9E" w:rsidRPr="00B72F43">
        <w:rPr>
          <w:bCs/>
        </w:rPr>
        <w:t xml:space="preserve"> 107 patients</w:t>
      </w:r>
      <w:r w:rsidR="00AF2B0A" w:rsidRPr="00B72F43">
        <w:rPr>
          <w:bCs/>
        </w:rPr>
        <w:t xml:space="preserve"> </w:t>
      </w:r>
      <w:r w:rsidR="002F2E9E" w:rsidRPr="00B72F43">
        <w:rPr>
          <w:bCs/>
        </w:rPr>
        <w:t xml:space="preserve">across </w:t>
      </w:r>
      <w:r w:rsidR="00AF2B0A" w:rsidRPr="00B72F43">
        <w:rPr>
          <w:bCs/>
        </w:rPr>
        <w:t xml:space="preserve">four residential treatment </w:t>
      </w:r>
      <w:r w:rsidR="001E42A5" w:rsidRPr="00B72F43">
        <w:rPr>
          <w:bCs/>
        </w:rPr>
        <w:t>centers</w:t>
      </w:r>
      <w:r w:rsidR="00AF2B0A" w:rsidRPr="00B72F43">
        <w:rPr>
          <w:bCs/>
        </w:rPr>
        <w:t xml:space="preserve"> in Massachusetts who </w:t>
      </w:r>
      <w:r w:rsidR="00DC5D0D" w:rsidRPr="00B72F43">
        <w:rPr>
          <w:bCs/>
        </w:rPr>
        <w:t xml:space="preserve">previously </w:t>
      </w:r>
      <w:r w:rsidR="00AF2B0A" w:rsidRPr="00B72F43">
        <w:rPr>
          <w:bCs/>
        </w:rPr>
        <w:t xml:space="preserve">had participated in </w:t>
      </w:r>
      <w:r w:rsidR="00F50DE8" w:rsidRPr="00B72F43">
        <w:rPr>
          <w:bCs/>
        </w:rPr>
        <w:t>MFR</w:t>
      </w:r>
      <w:r w:rsidR="00AF2B0A" w:rsidRPr="00B72F43">
        <w:rPr>
          <w:bCs/>
        </w:rPr>
        <w:t xml:space="preserve">. Patients </w:t>
      </w:r>
      <w:r w:rsidR="008E56C4" w:rsidRPr="00B72F43">
        <w:rPr>
          <w:bCs/>
        </w:rPr>
        <w:t xml:space="preserve">completed </w:t>
      </w:r>
      <w:r w:rsidR="002F2E9E" w:rsidRPr="00B72F43">
        <w:rPr>
          <w:bCs/>
        </w:rPr>
        <w:t xml:space="preserve">these initial brief narrative self-report </w:t>
      </w:r>
      <w:r w:rsidR="008E56C4" w:rsidRPr="00B72F43">
        <w:rPr>
          <w:bCs/>
        </w:rPr>
        <w:t>evaluations</w:t>
      </w:r>
      <w:r w:rsidR="00AF2B0A" w:rsidRPr="00B72F43">
        <w:rPr>
          <w:bCs/>
        </w:rPr>
        <w:t xml:space="preserve"> following their participation, responding to the question: “Did you find this [performance/workshop] helpful for your recovery journey? If so, how? If not, why not?”  </w:t>
      </w:r>
      <w:r w:rsidR="00634AE1" w:rsidRPr="00B72F43">
        <w:rPr>
          <w:bCs/>
        </w:rPr>
        <w:t>These brief narratives</w:t>
      </w:r>
      <w:r w:rsidR="00DC5D0D" w:rsidRPr="00B72F43">
        <w:rPr>
          <w:bCs/>
        </w:rPr>
        <w:t xml:space="preserve"> were reviewed by members of the research team to help identify common therapeutic themes emerging from them. </w:t>
      </w:r>
      <w:r w:rsidR="00AF2B0A" w:rsidRPr="00B72F43">
        <w:rPr>
          <w:bCs/>
        </w:rPr>
        <w:t>We used the Grounded Theory Approach to identify common</w:t>
      </w:r>
      <w:r w:rsidR="00657663" w:rsidRPr="00B72F43">
        <w:rPr>
          <w:bCs/>
        </w:rPr>
        <w:t xml:space="preserve"> themes</w:t>
      </w:r>
      <w:r w:rsidR="00AF2B0A" w:rsidRPr="00B72F43">
        <w:rPr>
          <w:bCs/>
        </w:rPr>
        <w:t xml:space="preserve"> </w:t>
      </w:r>
      <w:r w:rsidR="00657663" w:rsidRPr="00B72F43">
        <w:rPr>
          <w:bCs/>
        </w:rPr>
        <w:t xml:space="preserve">centered in </w:t>
      </w:r>
      <w:proofErr w:type="spellStart"/>
      <w:r w:rsidR="00657663" w:rsidRPr="00B72F43">
        <w:rPr>
          <w:bCs/>
        </w:rPr>
        <w:t>Yalom’s</w:t>
      </w:r>
      <w:proofErr w:type="spellEnd"/>
      <w:r w:rsidR="00657663" w:rsidRPr="00B72F43">
        <w:rPr>
          <w:bCs/>
        </w:rPr>
        <w:t xml:space="preserve"> group therapeutic factors</w:t>
      </w:r>
      <w:r w:rsidR="00634AE1" w:rsidRPr="00B72F43">
        <w:rPr>
          <w:bCs/>
        </w:rPr>
        <w:t>; t</w:t>
      </w:r>
      <w:r w:rsidR="00657663" w:rsidRPr="00B72F43">
        <w:rPr>
          <w:bCs/>
        </w:rPr>
        <w:t xml:space="preserve">hese </w:t>
      </w:r>
      <w:r w:rsidR="002C0417" w:rsidRPr="00B72F43">
        <w:rPr>
          <w:bCs/>
        </w:rPr>
        <w:t>in</w:t>
      </w:r>
      <w:r w:rsidR="00634AE1" w:rsidRPr="00B72F43">
        <w:rPr>
          <w:bCs/>
        </w:rPr>
        <w:t>cluded such factors as</w:t>
      </w:r>
      <w:r w:rsidR="002F2E9E" w:rsidRPr="00B72F43">
        <w:rPr>
          <w:bCs/>
        </w:rPr>
        <w:t xml:space="preserve"> c</w:t>
      </w:r>
      <w:r w:rsidR="00AF2B0A" w:rsidRPr="00B72F43">
        <w:rPr>
          <w:bCs/>
        </w:rPr>
        <w:t>atharsis</w:t>
      </w:r>
      <w:r w:rsidR="00657663" w:rsidRPr="00B72F43">
        <w:rPr>
          <w:bCs/>
        </w:rPr>
        <w:t xml:space="preserve"> (i.e., MFR enabled patients to express emotion better)</w:t>
      </w:r>
      <w:r w:rsidR="00AF2B0A" w:rsidRPr="00B72F43">
        <w:rPr>
          <w:bCs/>
        </w:rPr>
        <w:t xml:space="preserve">, </w:t>
      </w:r>
      <w:r w:rsidR="002F2E9E" w:rsidRPr="00B72F43">
        <w:rPr>
          <w:bCs/>
        </w:rPr>
        <w:t>cohesion</w:t>
      </w:r>
      <w:r w:rsidR="00657663" w:rsidRPr="00B72F43">
        <w:rPr>
          <w:bCs/>
        </w:rPr>
        <w:t xml:space="preserve"> (MFR led patients to feel greater sense of community, trust, bonding, and belonging)</w:t>
      </w:r>
      <w:r w:rsidR="002F2E9E" w:rsidRPr="00B72F43">
        <w:rPr>
          <w:bCs/>
        </w:rPr>
        <w:t>, existential f</w:t>
      </w:r>
      <w:r w:rsidR="008E56C4" w:rsidRPr="00B72F43">
        <w:rPr>
          <w:bCs/>
        </w:rPr>
        <w:t>actors</w:t>
      </w:r>
      <w:r w:rsidR="00657663" w:rsidRPr="00B72F43">
        <w:rPr>
          <w:bCs/>
        </w:rPr>
        <w:t xml:space="preserve"> (MFR helped patients boost confidence and empower them to make changes)</w:t>
      </w:r>
      <w:r w:rsidR="008E56C4" w:rsidRPr="00B72F43">
        <w:rPr>
          <w:bCs/>
        </w:rPr>
        <w:t xml:space="preserve">, </w:t>
      </w:r>
      <w:r w:rsidR="002F2E9E" w:rsidRPr="00B72F43">
        <w:rPr>
          <w:bCs/>
        </w:rPr>
        <w:t>installation of h</w:t>
      </w:r>
      <w:r w:rsidR="00AF2B0A" w:rsidRPr="00B72F43">
        <w:rPr>
          <w:bCs/>
        </w:rPr>
        <w:t>ope</w:t>
      </w:r>
      <w:r w:rsidR="00657663" w:rsidRPr="00B72F43">
        <w:rPr>
          <w:bCs/>
        </w:rPr>
        <w:t xml:space="preserve"> (MFR helped patients believe that positive change and recovery was possible)</w:t>
      </w:r>
      <w:r w:rsidR="00AF2B0A" w:rsidRPr="00B72F43">
        <w:rPr>
          <w:bCs/>
        </w:rPr>
        <w:t>,</w:t>
      </w:r>
      <w:r w:rsidR="002F2E9E" w:rsidRPr="00B72F43">
        <w:rPr>
          <w:bCs/>
        </w:rPr>
        <w:t xml:space="preserve"> interpersonal l</w:t>
      </w:r>
      <w:r w:rsidR="008E56C4" w:rsidRPr="00B72F43">
        <w:rPr>
          <w:bCs/>
        </w:rPr>
        <w:t>earning</w:t>
      </w:r>
      <w:r w:rsidR="00657663" w:rsidRPr="00B72F43">
        <w:rPr>
          <w:bCs/>
        </w:rPr>
        <w:t xml:space="preserve"> (MFR helped patients learn more from one another)</w:t>
      </w:r>
      <w:r w:rsidR="008E56C4" w:rsidRPr="00B72F43">
        <w:rPr>
          <w:bCs/>
        </w:rPr>
        <w:t>,</w:t>
      </w:r>
      <w:r w:rsidR="00AF2B0A" w:rsidRPr="00B72F43">
        <w:rPr>
          <w:bCs/>
        </w:rPr>
        <w:t xml:space="preserve"> </w:t>
      </w:r>
      <w:r w:rsidR="008E56C4" w:rsidRPr="00B72F43">
        <w:rPr>
          <w:bCs/>
        </w:rPr>
        <w:t xml:space="preserve">and </w:t>
      </w:r>
      <w:r w:rsidR="002F2E9E" w:rsidRPr="00B72F43">
        <w:rPr>
          <w:bCs/>
        </w:rPr>
        <w:t>u</w:t>
      </w:r>
      <w:r w:rsidR="00AF2B0A" w:rsidRPr="00B72F43">
        <w:rPr>
          <w:bCs/>
        </w:rPr>
        <w:t>niversality</w:t>
      </w:r>
      <w:r w:rsidR="00657663" w:rsidRPr="00B72F43">
        <w:rPr>
          <w:bCs/>
        </w:rPr>
        <w:t xml:space="preserve"> (</w:t>
      </w:r>
      <w:r w:rsidR="001B22E4" w:rsidRPr="00B72F43">
        <w:rPr>
          <w:bCs/>
        </w:rPr>
        <w:t>MFR helped patients feel closer to their peers and more a part of the community)</w:t>
      </w:r>
      <w:r w:rsidR="0090013E" w:rsidRPr="00B72F43">
        <w:rPr>
          <w:bCs/>
        </w:rPr>
        <w:t>.</w:t>
      </w:r>
      <w:r w:rsidR="002B75CE" w:rsidRPr="00B72F43">
        <w:rPr>
          <w:bCs/>
        </w:rPr>
        <w:t xml:space="preserve"> </w:t>
      </w:r>
    </w:p>
    <w:p w:rsidR="00997026" w:rsidRPr="00B72F43" w:rsidRDefault="002B75CE" w:rsidP="00912DD3">
      <w:pPr>
        <w:spacing w:after="240"/>
        <w:rPr>
          <w:bCs/>
        </w:rPr>
      </w:pPr>
      <w:r w:rsidRPr="00B72F43">
        <w:rPr>
          <w:bCs/>
        </w:rPr>
        <w:t>Content from the 164 written narratives fell into one of these 6 therapeutic domains</w:t>
      </w:r>
      <w:r w:rsidR="00B74CAE" w:rsidRPr="00B72F43">
        <w:rPr>
          <w:bCs/>
        </w:rPr>
        <w:t xml:space="preserve"> and </w:t>
      </w:r>
      <w:r w:rsidR="0028123D" w:rsidRPr="00B72F43">
        <w:rPr>
          <w:bCs/>
        </w:rPr>
        <w:t xml:space="preserve">from these a </w:t>
      </w:r>
      <w:r w:rsidR="00B74CAE" w:rsidRPr="00B72F43">
        <w:rPr>
          <w:bCs/>
        </w:rPr>
        <w:t>10</w:t>
      </w:r>
      <w:r w:rsidR="00634AE1" w:rsidRPr="00B72F43">
        <w:rPr>
          <w:bCs/>
        </w:rPr>
        <w:t>-</w:t>
      </w:r>
      <w:r w:rsidR="0028123D" w:rsidRPr="00B72F43">
        <w:rPr>
          <w:bCs/>
        </w:rPr>
        <w:t>item scale</w:t>
      </w:r>
      <w:r w:rsidR="00AF2B0A" w:rsidRPr="00B72F43">
        <w:rPr>
          <w:bCs/>
        </w:rPr>
        <w:t xml:space="preserve"> </w:t>
      </w:r>
      <w:r w:rsidR="0028123D" w:rsidRPr="00B72F43">
        <w:rPr>
          <w:bCs/>
        </w:rPr>
        <w:t xml:space="preserve">was </w:t>
      </w:r>
      <w:r w:rsidR="00B74CAE" w:rsidRPr="00B72F43">
        <w:rPr>
          <w:bCs/>
        </w:rPr>
        <w:t xml:space="preserve">constructed based on </w:t>
      </w:r>
      <w:r w:rsidR="00CB4C84" w:rsidRPr="00B72F43">
        <w:rPr>
          <w:bCs/>
        </w:rPr>
        <w:t xml:space="preserve">an </w:t>
      </w:r>
      <w:r w:rsidR="00634AE1" w:rsidRPr="00B72F43">
        <w:rPr>
          <w:bCs/>
        </w:rPr>
        <w:t xml:space="preserve">established, empirically derived </w:t>
      </w:r>
      <w:r w:rsidR="00CB4C84" w:rsidRPr="00B72F43">
        <w:rPr>
          <w:bCs/>
        </w:rPr>
        <w:t xml:space="preserve">scale known as </w:t>
      </w:r>
      <w:r w:rsidR="00AF2B0A" w:rsidRPr="00B72F43">
        <w:rPr>
          <w:bCs/>
        </w:rPr>
        <w:t>the Thera</w:t>
      </w:r>
      <w:r w:rsidR="00B74CAE" w:rsidRPr="00B72F43">
        <w:rPr>
          <w:bCs/>
        </w:rPr>
        <w:t>peutic Factors Inventory (TFI)</w:t>
      </w:r>
      <w:r w:rsidR="00B72F43">
        <w:rPr>
          <w:bCs/>
        </w:rPr>
        <w:t xml:space="preserve">, which serves </w:t>
      </w:r>
      <w:r w:rsidR="00AF2B0A" w:rsidRPr="00B72F43">
        <w:rPr>
          <w:bCs/>
        </w:rPr>
        <w:t xml:space="preserve">to assess the presence of </w:t>
      </w:r>
      <w:proofErr w:type="spellStart"/>
      <w:r w:rsidR="00AF2B0A" w:rsidRPr="00B72F43">
        <w:rPr>
          <w:bCs/>
        </w:rPr>
        <w:t>Yalom’s</w:t>
      </w:r>
      <w:proofErr w:type="spellEnd"/>
      <w:r w:rsidR="00AF2B0A" w:rsidRPr="00B72F43">
        <w:rPr>
          <w:bCs/>
        </w:rPr>
        <w:t xml:space="preserve"> eleven TFs </w:t>
      </w:r>
      <w:r w:rsidR="00B74CAE" w:rsidRPr="00B72F43">
        <w:rPr>
          <w:bCs/>
        </w:rPr>
        <w:t xml:space="preserve">operating </w:t>
      </w:r>
      <w:r w:rsidR="00AF2B0A" w:rsidRPr="00B72F43">
        <w:rPr>
          <w:bCs/>
        </w:rPr>
        <w:t>in group therapy (</w:t>
      </w:r>
      <w:proofErr w:type="spellStart"/>
      <w:r w:rsidR="00AF2B0A" w:rsidRPr="00B72F43">
        <w:rPr>
          <w:bCs/>
        </w:rPr>
        <w:t>Lese</w:t>
      </w:r>
      <w:proofErr w:type="spellEnd"/>
      <w:r w:rsidR="00AF2B0A" w:rsidRPr="00B72F43">
        <w:rPr>
          <w:bCs/>
        </w:rPr>
        <w:t xml:space="preserve"> and </w:t>
      </w:r>
      <w:proofErr w:type="spellStart"/>
      <w:r w:rsidR="00AF2B0A" w:rsidRPr="00B72F43">
        <w:rPr>
          <w:bCs/>
        </w:rPr>
        <w:t>MacNair-Semands</w:t>
      </w:r>
      <w:proofErr w:type="spellEnd"/>
      <w:r w:rsidR="00AF2B0A" w:rsidRPr="00B72F43">
        <w:rPr>
          <w:bCs/>
        </w:rPr>
        <w:t xml:space="preserve">, 2000). </w:t>
      </w:r>
      <w:r w:rsidR="00B72F43">
        <w:rPr>
          <w:bCs/>
        </w:rPr>
        <w:t xml:space="preserve"> We created a 10-item</w:t>
      </w:r>
      <w:r w:rsidR="002745A5" w:rsidRPr="00B72F43">
        <w:t xml:space="preserve"> </w:t>
      </w:r>
      <w:r w:rsidR="003D23F6" w:rsidRPr="00B72F43">
        <w:t>Therapeutic Change Scale (T</w:t>
      </w:r>
      <w:r w:rsidR="002745A5" w:rsidRPr="00B72F43">
        <w:t>C</w:t>
      </w:r>
      <w:r w:rsidR="003D23F6" w:rsidRPr="00B72F43">
        <w:t>S</w:t>
      </w:r>
      <w:r w:rsidR="002745A5" w:rsidRPr="00B72F43">
        <w:t>)</w:t>
      </w:r>
      <w:r w:rsidR="00502741" w:rsidRPr="00B72F43">
        <w:rPr>
          <w:bCs/>
        </w:rPr>
        <w:t>,</w:t>
      </w:r>
      <w:r w:rsidR="00AF2B0A" w:rsidRPr="00B72F43">
        <w:rPr>
          <w:bCs/>
        </w:rPr>
        <w:t xml:space="preserve"> </w:t>
      </w:r>
      <w:r w:rsidR="00CB4C84" w:rsidRPr="00B72F43">
        <w:rPr>
          <w:bCs/>
        </w:rPr>
        <w:t xml:space="preserve">with items </w:t>
      </w:r>
      <w:r w:rsidR="00B74CAE" w:rsidRPr="00B72F43">
        <w:rPr>
          <w:bCs/>
        </w:rPr>
        <w:t xml:space="preserve">rated </w:t>
      </w:r>
      <w:r w:rsidR="00AF2B0A" w:rsidRPr="00B72F43">
        <w:rPr>
          <w:bCs/>
        </w:rPr>
        <w:t>from 1 (</w:t>
      </w:r>
      <w:r w:rsidR="00AF2B0A" w:rsidRPr="00B72F43">
        <w:rPr>
          <w:bCs/>
          <w:i/>
        </w:rPr>
        <w:t>strongly disagree</w:t>
      </w:r>
      <w:r w:rsidR="00AF2B0A" w:rsidRPr="00B72F43">
        <w:rPr>
          <w:bCs/>
        </w:rPr>
        <w:t>) to 6 (</w:t>
      </w:r>
      <w:r w:rsidR="00AF2B0A" w:rsidRPr="00B72F43">
        <w:rPr>
          <w:bCs/>
          <w:i/>
        </w:rPr>
        <w:t>strongly agree</w:t>
      </w:r>
      <w:r w:rsidR="00502741" w:rsidRPr="00B72F43">
        <w:rPr>
          <w:bCs/>
        </w:rPr>
        <w:t>)</w:t>
      </w:r>
      <w:r w:rsidR="00CB4C84" w:rsidRPr="00B72F43">
        <w:rPr>
          <w:bCs/>
        </w:rPr>
        <w:t xml:space="preserve">. This </w:t>
      </w:r>
      <w:r w:rsidR="00634AE1" w:rsidRPr="00B72F43">
        <w:rPr>
          <w:bCs/>
        </w:rPr>
        <w:t>served</w:t>
      </w:r>
      <w:r w:rsidR="00CB4C84" w:rsidRPr="00B72F43">
        <w:rPr>
          <w:bCs/>
        </w:rPr>
        <w:t xml:space="preserve"> to capture</w:t>
      </w:r>
      <w:r w:rsidR="00502741" w:rsidRPr="00B72F43">
        <w:rPr>
          <w:bCs/>
        </w:rPr>
        <w:t xml:space="preserve"> </w:t>
      </w:r>
      <w:r w:rsidR="00AF2B0A" w:rsidRPr="00B72F43">
        <w:rPr>
          <w:bCs/>
        </w:rPr>
        <w:t xml:space="preserve">the extent to which patients agreed that </w:t>
      </w:r>
      <w:r w:rsidR="00502741" w:rsidRPr="00B72F43">
        <w:rPr>
          <w:bCs/>
        </w:rPr>
        <w:t>a</w:t>
      </w:r>
      <w:r w:rsidR="00AF2B0A" w:rsidRPr="00B72F43">
        <w:rPr>
          <w:bCs/>
        </w:rPr>
        <w:t xml:space="preserve"> </w:t>
      </w:r>
      <w:r w:rsidR="00CB4C84" w:rsidRPr="00B72F43">
        <w:rPr>
          <w:bCs/>
        </w:rPr>
        <w:t xml:space="preserve">therapeutic element was </w:t>
      </w:r>
      <w:r w:rsidR="00AF2B0A" w:rsidRPr="00B72F43">
        <w:rPr>
          <w:bCs/>
        </w:rPr>
        <w:t>present</w:t>
      </w:r>
      <w:r w:rsidR="00CB4C84" w:rsidRPr="00B72F43">
        <w:rPr>
          <w:bCs/>
        </w:rPr>
        <w:t xml:space="preserve"> in their life and </w:t>
      </w:r>
      <w:r w:rsidR="002745A5" w:rsidRPr="00B72F43">
        <w:rPr>
          <w:bCs/>
        </w:rPr>
        <w:t xml:space="preserve">was designed to </w:t>
      </w:r>
      <w:r w:rsidR="00CB4C84" w:rsidRPr="00B72F43">
        <w:rPr>
          <w:bCs/>
        </w:rPr>
        <w:t xml:space="preserve">be </w:t>
      </w:r>
      <w:r w:rsidR="00CB4C84" w:rsidRPr="00B72F43">
        <w:rPr>
          <w:bCs/>
        </w:rPr>
        <w:lastRenderedPageBreak/>
        <w:t xml:space="preserve">sensitive to change in these elements after patients participated in </w:t>
      </w:r>
      <w:r w:rsidR="002745A5" w:rsidRPr="00B72F43">
        <w:rPr>
          <w:bCs/>
        </w:rPr>
        <w:t>various</w:t>
      </w:r>
      <w:r w:rsidR="00C22C14">
        <w:rPr>
          <w:bCs/>
        </w:rPr>
        <w:t xml:space="preserve"> group</w:t>
      </w:r>
      <w:r w:rsidR="002745A5" w:rsidRPr="00B72F43">
        <w:rPr>
          <w:bCs/>
        </w:rPr>
        <w:t xml:space="preserve"> therapeutic activi</w:t>
      </w:r>
      <w:r w:rsidR="00C22C14">
        <w:rPr>
          <w:bCs/>
        </w:rPr>
        <w:t>ties</w:t>
      </w:r>
      <w:r w:rsidR="002745A5" w:rsidRPr="00B72F43">
        <w:rPr>
          <w:bCs/>
        </w:rPr>
        <w:t xml:space="preserve"> </w:t>
      </w:r>
      <w:r w:rsidR="00F43468" w:rsidRPr="00B72F43">
        <w:rPr>
          <w:bCs/>
        </w:rPr>
        <w:t xml:space="preserve">(e.g., </w:t>
      </w:r>
      <w:r w:rsidR="00634AE1" w:rsidRPr="00B72F43">
        <w:rPr>
          <w:bCs/>
        </w:rPr>
        <w:t xml:space="preserve">the </w:t>
      </w:r>
      <w:r w:rsidR="00CB4C84" w:rsidRPr="00B72F43">
        <w:rPr>
          <w:bCs/>
        </w:rPr>
        <w:t>MFR program</w:t>
      </w:r>
      <w:r w:rsidR="00F43468" w:rsidRPr="00B72F43">
        <w:rPr>
          <w:bCs/>
        </w:rPr>
        <w:t>)</w:t>
      </w:r>
      <w:r w:rsidR="00CB4C84" w:rsidRPr="00B72F43">
        <w:rPr>
          <w:bCs/>
        </w:rPr>
        <w:t xml:space="preserve">. </w:t>
      </w:r>
      <w:r w:rsidR="005922D5" w:rsidRPr="00B72F43">
        <w:t xml:space="preserve">The </w:t>
      </w:r>
      <w:r w:rsidR="00912DD3" w:rsidRPr="00B72F43">
        <w:t>10-item questionnaire</w:t>
      </w:r>
      <w:r w:rsidR="005922D5" w:rsidRPr="00B72F43">
        <w:t xml:space="preserve"> </w:t>
      </w:r>
      <w:r w:rsidR="00CB4C84" w:rsidRPr="00B72F43">
        <w:t xml:space="preserve">contained </w:t>
      </w:r>
      <w:r w:rsidR="00595B14" w:rsidRPr="00B72F43">
        <w:t xml:space="preserve">6 domains </w:t>
      </w:r>
      <w:r w:rsidR="00F43468" w:rsidRPr="00B72F43">
        <w:t>that</w:t>
      </w:r>
      <w:r w:rsidR="005922D5" w:rsidRPr="00B72F43">
        <w:t xml:space="preserve"> </w:t>
      </w:r>
      <w:r w:rsidR="00F43468" w:rsidRPr="00B72F43">
        <w:t xml:space="preserve">captured the </w:t>
      </w:r>
      <w:r w:rsidR="00912DD3" w:rsidRPr="00B72F43">
        <w:t xml:space="preserve">TFs </w:t>
      </w:r>
      <w:r w:rsidR="00634AE1" w:rsidRPr="00B72F43">
        <w:t xml:space="preserve">found </w:t>
      </w:r>
      <w:r w:rsidR="0090013E" w:rsidRPr="00B72F43">
        <w:t>prominent</w:t>
      </w:r>
      <w:r w:rsidR="00502741" w:rsidRPr="00B72F43">
        <w:t xml:space="preserve"> in the</w:t>
      </w:r>
      <w:r w:rsidR="00912DD3" w:rsidRPr="00B72F43">
        <w:t xml:space="preserve"> qualitative response analysis</w:t>
      </w:r>
      <w:r w:rsidR="00CB4C84" w:rsidRPr="00B72F43">
        <w:t>. These were</w:t>
      </w:r>
      <w:r w:rsidR="005922D5" w:rsidRPr="00B72F43">
        <w:t xml:space="preserve">: </w:t>
      </w:r>
      <w:r w:rsidR="001012B8" w:rsidRPr="00B72F43">
        <w:t>I</w:t>
      </w:r>
      <w:r w:rsidR="005922D5" w:rsidRPr="00B72F43">
        <w:t xml:space="preserve">nstillation of </w:t>
      </w:r>
      <w:r w:rsidR="00634AE1" w:rsidRPr="00B72F43">
        <w:t>H</w:t>
      </w:r>
      <w:r w:rsidR="005922D5" w:rsidRPr="00B72F43">
        <w:t>ope</w:t>
      </w:r>
      <w:r w:rsidR="001012B8" w:rsidRPr="00B72F43">
        <w:t xml:space="preserve"> (3 items)</w:t>
      </w:r>
      <w:r w:rsidR="005922D5" w:rsidRPr="00B72F43">
        <w:t xml:space="preserve">, </w:t>
      </w:r>
      <w:r w:rsidR="001012B8" w:rsidRPr="00B72F43">
        <w:t>C</w:t>
      </w:r>
      <w:r w:rsidR="005922D5" w:rsidRPr="00B72F43">
        <w:t xml:space="preserve">ohesion and </w:t>
      </w:r>
      <w:r w:rsidR="001012B8" w:rsidRPr="00B72F43">
        <w:t>E</w:t>
      </w:r>
      <w:r w:rsidR="005922D5" w:rsidRPr="00B72F43">
        <w:t xml:space="preserve">xistential </w:t>
      </w:r>
      <w:r w:rsidR="00634AE1" w:rsidRPr="00B72F43">
        <w:t>F</w:t>
      </w:r>
      <w:r w:rsidR="005922D5" w:rsidRPr="00B72F43">
        <w:t>actors</w:t>
      </w:r>
      <w:r w:rsidR="001012B8" w:rsidRPr="00B72F43">
        <w:t xml:space="preserve"> (2 items each)</w:t>
      </w:r>
      <w:r w:rsidR="005922D5" w:rsidRPr="00B72F43">
        <w:t xml:space="preserve">, and </w:t>
      </w:r>
      <w:r w:rsidR="001012B8" w:rsidRPr="00B72F43">
        <w:t>C</w:t>
      </w:r>
      <w:r w:rsidR="005922D5" w:rsidRPr="00B72F43">
        <w:t xml:space="preserve">atharsis, </w:t>
      </w:r>
      <w:r w:rsidR="001012B8" w:rsidRPr="00B72F43">
        <w:t>I</w:t>
      </w:r>
      <w:r w:rsidR="005922D5" w:rsidRPr="00B72F43">
        <w:t xml:space="preserve">nterpersonal </w:t>
      </w:r>
      <w:r w:rsidR="00634AE1" w:rsidRPr="00B72F43">
        <w:t>L</w:t>
      </w:r>
      <w:r w:rsidR="0090013E" w:rsidRPr="00B72F43">
        <w:t>earning</w:t>
      </w:r>
      <w:r w:rsidR="005922D5" w:rsidRPr="00B72F43">
        <w:t xml:space="preserve">, and </w:t>
      </w:r>
      <w:r w:rsidR="001012B8" w:rsidRPr="00B72F43">
        <w:t>U</w:t>
      </w:r>
      <w:r w:rsidR="005922D5" w:rsidRPr="00B72F43">
        <w:t>niversality</w:t>
      </w:r>
      <w:r w:rsidR="001012B8" w:rsidRPr="00B72F43">
        <w:t xml:space="preserve"> (1 item each)</w:t>
      </w:r>
      <w:r w:rsidR="00634AE1" w:rsidRPr="00B72F43">
        <w:t>.</w:t>
      </w:r>
    </w:p>
    <w:p w:rsidR="00CA6EBD" w:rsidRPr="00B72F43" w:rsidRDefault="00846C57" w:rsidP="00CA6EBD">
      <w:pPr>
        <w:rPr>
          <w:b/>
        </w:rPr>
      </w:pPr>
      <w:r w:rsidRPr="00B72F43">
        <w:rPr>
          <w:bCs/>
        </w:rPr>
        <w:t xml:space="preserve">Patients </w:t>
      </w:r>
      <w:r w:rsidR="007F2F4B" w:rsidRPr="00B72F43">
        <w:rPr>
          <w:bCs/>
        </w:rPr>
        <w:t xml:space="preserve">enrolled at four residential treatment facilities for adults with substance use disorders in Massachusetts </w:t>
      </w:r>
      <w:r w:rsidRPr="00B72F43">
        <w:rPr>
          <w:bCs/>
        </w:rPr>
        <w:t xml:space="preserve">were </w:t>
      </w:r>
      <w:r w:rsidR="007F2F4B" w:rsidRPr="00B72F43">
        <w:rPr>
          <w:bCs/>
        </w:rPr>
        <w:t xml:space="preserve">asked to complete </w:t>
      </w:r>
      <w:r w:rsidR="003D23F6" w:rsidRPr="00B72F43">
        <w:rPr>
          <w:bCs/>
        </w:rPr>
        <w:t xml:space="preserve">the TCS </w:t>
      </w:r>
      <w:r w:rsidR="00634AE1" w:rsidRPr="00B72F43">
        <w:rPr>
          <w:bCs/>
        </w:rPr>
        <w:t>before</w:t>
      </w:r>
      <w:r w:rsidR="003D23F6" w:rsidRPr="00B72F43">
        <w:rPr>
          <w:bCs/>
        </w:rPr>
        <w:t xml:space="preserve"> and </w:t>
      </w:r>
      <w:r w:rsidR="00634AE1" w:rsidRPr="00B72F43">
        <w:rPr>
          <w:bCs/>
        </w:rPr>
        <w:t>after</w:t>
      </w:r>
      <w:r w:rsidR="003D23F6" w:rsidRPr="00B72F43">
        <w:rPr>
          <w:bCs/>
        </w:rPr>
        <w:t xml:space="preserve"> participation in the MFR </w:t>
      </w:r>
      <w:r w:rsidR="002E7B33" w:rsidRPr="00B72F43">
        <w:rPr>
          <w:bCs/>
        </w:rPr>
        <w:t>program</w:t>
      </w:r>
      <w:r w:rsidR="003D23F6" w:rsidRPr="00B72F43">
        <w:rPr>
          <w:bCs/>
        </w:rPr>
        <w:t xml:space="preserve">. </w:t>
      </w:r>
      <w:r w:rsidR="00BF1DB2" w:rsidRPr="00B72F43">
        <w:rPr>
          <w:bCs/>
        </w:rPr>
        <w:t xml:space="preserve">Patients’ pre- and post- questionnaires were stapled together to identify their corresponding responses. </w:t>
      </w:r>
      <w:r w:rsidR="00CA6EBD" w:rsidRPr="00B72F43">
        <w:rPr>
          <w:bCs/>
        </w:rPr>
        <w:t xml:space="preserve">Age and gender information </w:t>
      </w:r>
      <w:r w:rsidR="00191596" w:rsidRPr="00B72F43">
        <w:rPr>
          <w:bCs/>
        </w:rPr>
        <w:t>were</w:t>
      </w:r>
      <w:r w:rsidR="00CA6EBD" w:rsidRPr="00B72F43">
        <w:rPr>
          <w:bCs/>
        </w:rPr>
        <w:t xml:space="preserve"> also collected.</w:t>
      </w:r>
      <w:r w:rsidR="00783D61" w:rsidRPr="00B72F43">
        <w:rPr>
          <w:bCs/>
        </w:rPr>
        <w:t xml:space="preserve"> </w:t>
      </w:r>
    </w:p>
    <w:p w:rsidR="00783D61" w:rsidRPr="00B72F43" w:rsidRDefault="00E7459C" w:rsidP="00CA6EB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3076575</wp:posOffset>
            </wp:positionH>
            <wp:positionV relativeFrom="margin">
              <wp:posOffset>1905000</wp:posOffset>
            </wp:positionV>
            <wp:extent cx="3105150" cy="5248275"/>
            <wp:effectExtent l="19050" t="0" r="19050" b="0"/>
            <wp:wrapTight wrapText="bothSides">
              <wp:wrapPolygon edited="0">
                <wp:start x="-133" y="0"/>
                <wp:lineTo x="-133" y="21561"/>
                <wp:lineTo x="21733" y="21561"/>
                <wp:lineTo x="21733" y="0"/>
                <wp:lineTo x="-133" y="0"/>
              </wp:wrapPolygon>
            </wp:wrapTight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3034E" w:rsidRPr="00B72F43">
        <w:rPr>
          <w:b/>
        </w:rPr>
        <w:t xml:space="preserve">RESULTS: </w:t>
      </w:r>
      <w:r w:rsidR="00C661F6" w:rsidRPr="00B72F43">
        <w:t xml:space="preserve">Individuals who did not complete </w:t>
      </w:r>
      <w:r w:rsidR="00C661F6" w:rsidRPr="00B72F43">
        <w:rPr>
          <w:u w:val="single"/>
        </w:rPr>
        <w:t>both</w:t>
      </w:r>
      <w:r w:rsidR="00C661F6" w:rsidRPr="00B72F43">
        <w:t xml:space="preserve"> the pre- and the post- questionnaire </w:t>
      </w:r>
      <w:r w:rsidR="000246DA" w:rsidRPr="00B72F43">
        <w:t xml:space="preserve">(n=40) </w:t>
      </w:r>
      <w:r w:rsidR="00C661F6" w:rsidRPr="00B72F43">
        <w:t xml:space="preserve">were excluded from </w:t>
      </w:r>
      <w:r w:rsidR="00FC01F2" w:rsidRPr="00B72F43">
        <w:t>our</w:t>
      </w:r>
      <w:r w:rsidR="00C661F6" w:rsidRPr="00B72F43">
        <w:t xml:space="preserve"> </w:t>
      </w:r>
      <w:r w:rsidR="00B61965" w:rsidRPr="00B72F43">
        <w:t>analyses</w:t>
      </w:r>
      <w:r w:rsidR="00C661F6" w:rsidRPr="00B72F43">
        <w:t xml:space="preserve">, resulting in a </w:t>
      </w:r>
      <w:r w:rsidR="000246DA" w:rsidRPr="00B72F43">
        <w:t xml:space="preserve">completed </w:t>
      </w:r>
      <w:r w:rsidR="00C661F6" w:rsidRPr="00B72F43">
        <w:t xml:space="preserve">sample size of 78 individuals. </w:t>
      </w:r>
      <w:r w:rsidR="00783D61" w:rsidRPr="00B72F43">
        <w:t>Participants ranged in age from 18 to 74 years (</w:t>
      </w:r>
      <w:r w:rsidR="00783D61" w:rsidRPr="00B72F43">
        <w:rPr>
          <w:i/>
        </w:rPr>
        <w:t xml:space="preserve">M </w:t>
      </w:r>
      <w:r w:rsidR="00783D61" w:rsidRPr="00B72F43">
        <w:t xml:space="preserve">= 36.56, </w:t>
      </w:r>
      <w:r w:rsidR="00783D61" w:rsidRPr="00B72F43">
        <w:rPr>
          <w:i/>
        </w:rPr>
        <w:t>SD</w:t>
      </w:r>
      <w:r w:rsidR="00783D61" w:rsidRPr="00B72F43">
        <w:t xml:space="preserve"> = 13.45). </w:t>
      </w:r>
      <w:r w:rsidR="00C661F6" w:rsidRPr="00B72F43">
        <w:t>O</w:t>
      </w:r>
      <w:r w:rsidR="00F44B1D" w:rsidRPr="00B72F43">
        <w:t xml:space="preserve">f the centers included in the sample, two were mixed gender facilities </w:t>
      </w:r>
      <w:r w:rsidR="00C661F6" w:rsidRPr="00B72F43">
        <w:t>while</w:t>
      </w:r>
      <w:r w:rsidR="00F44B1D" w:rsidRPr="00B72F43">
        <w:t xml:space="preserve"> two were </w:t>
      </w:r>
      <w:r w:rsidR="00502741" w:rsidRPr="00B72F43">
        <w:t xml:space="preserve">exclusive </w:t>
      </w:r>
      <w:r w:rsidR="00C661F6" w:rsidRPr="00B72F43">
        <w:t>to either</w:t>
      </w:r>
      <w:r w:rsidR="00F44B1D" w:rsidRPr="00B72F43">
        <w:t xml:space="preserve"> men or women</w:t>
      </w:r>
      <w:r w:rsidR="00C661F6" w:rsidRPr="00B72F43">
        <w:t>;</w:t>
      </w:r>
      <w:r w:rsidR="00F44B1D" w:rsidRPr="00B72F43">
        <w:t xml:space="preserve"> </w:t>
      </w:r>
      <w:r w:rsidR="00C661F6" w:rsidRPr="00B72F43">
        <w:t xml:space="preserve">participants across the four centers were predominantly male (55%). </w:t>
      </w:r>
    </w:p>
    <w:p w:rsidR="00C22C14" w:rsidRDefault="000246DA">
      <w:r w:rsidRPr="00B72F43">
        <w:t xml:space="preserve">The scale was found to be highly reliable, with internal consistency scale alphas very high both before (α = .85) and after (α = .90) participation. </w:t>
      </w:r>
      <w:r w:rsidR="00CA6EBD" w:rsidRPr="00B72F43">
        <w:t xml:space="preserve">Paired-samples t-tests were run on a sample of 78 </w:t>
      </w:r>
      <w:r w:rsidR="0090013E" w:rsidRPr="00B72F43">
        <w:t>MFR</w:t>
      </w:r>
      <w:r w:rsidR="00CA6EBD" w:rsidRPr="00B72F43">
        <w:t xml:space="preserve"> participants to determine whether there was a statistically significant </w:t>
      </w:r>
      <w:r w:rsidRPr="00B72F43">
        <w:t>change in TCS scores</w:t>
      </w:r>
      <w:r w:rsidR="00CA6EBD" w:rsidRPr="00B72F43">
        <w:t xml:space="preserve"> before and after </w:t>
      </w:r>
      <w:r w:rsidRPr="00B72F43">
        <w:t xml:space="preserve">MFR </w:t>
      </w:r>
      <w:r w:rsidR="00CA6EBD" w:rsidRPr="00B72F43">
        <w:t>participation.</w:t>
      </w:r>
      <w:r w:rsidR="00191596" w:rsidRPr="00B72F43">
        <w:t xml:space="preserve"> </w:t>
      </w:r>
      <w:r w:rsidR="00B477A5" w:rsidRPr="00B72F43">
        <w:t>Overall,</w:t>
      </w:r>
      <w:r w:rsidR="00502741" w:rsidRPr="00B72F43">
        <w:t xml:space="preserve"> patients reported</w:t>
      </w:r>
      <w:r w:rsidR="00B477A5" w:rsidRPr="00B72F43">
        <w:t xml:space="preserve"> </w:t>
      </w:r>
      <w:r w:rsidR="00502741" w:rsidRPr="00B72F43">
        <w:t>a</w:t>
      </w:r>
      <w:r w:rsidR="00B477A5" w:rsidRPr="00B72F43">
        <w:t xml:space="preserve"> significant </w:t>
      </w:r>
      <w:r w:rsidRPr="00B72F43">
        <w:t xml:space="preserve">positive </w:t>
      </w:r>
      <w:r w:rsidR="00B477A5" w:rsidRPr="00B72F43">
        <w:t xml:space="preserve">increase in </w:t>
      </w:r>
      <w:r w:rsidRPr="00B72F43">
        <w:t xml:space="preserve">the full scale score of the TCS </w:t>
      </w:r>
      <w:r w:rsidR="00B477A5" w:rsidRPr="00B72F43">
        <w:t xml:space="preserve">as a function of participating in </w:t>
      </w:r>
      <w:r w:rsidR="0090013E" w:rsidRPr="00B72F43">
        <w:t>MFR</w:t>
      </w:r>
      <w:r w:rsidR="00191596" w:rsidRPr="00B72F43">
        <w:t xml:space="preserve">, </w:t>
      </w:r>
      <w:proofErr w:type="gramStart"/>
      <w:r w:rsidR="00B477A5" w:rsidRPr="00B72F43">
        <w:rPr>
          <w:i/>
        </w:rPr>
        <w:t>t</w:t>
      </w:r>
      <w:r w:rsidR="00B477A5" w:rsidRPr="00B72F43">
        <w:t>(</w:t>
      </w:r>
      <w:proofErr w:type="gramEnd"/>
      <w:r w:rsidR="00B477A5" w:rsidRPr="00B72F43">
        <w:t xml:space="preserve">77) = 4.27, </w:t>
      </w:r>
      <w:r w:rsidR="00B477A5" w:rsidRPr="00B72F43">
        <w:rPr>
          <w:i/>
        </w:rPr>
        <w:t>p</w:t>
      </w:r>
      <w:r w:rsidR="00B477A5" w:rsidRPr="00B72F43">
        <w:t xml:space="preserve"> </w:t>
      </w:r>
      <w:r w:rsidR="00B70AB1" w:rsidRPr="00B72F43">
        <w:t>&lt;</w:t>
      </w:r>
      <w:r w:rsidR="00B477A5" w:rsidRPr="00B72F43">
        <w:t xml:space="preserve"> .00</w:t>
      </w:r>
      <w:r w:rsidR="00B70AB1" w:rsidRPr="00B72F43">
        <w:t>1</w:t>
      </w:r>
      <w:r w:rsidRPr="00B72F43">
        <w:t xml:space="preserve"> (see </w:t>
      </w:r>
      <w:r w:rsidR="001E7172">
        <w:t>F</w:t>
      </w:r>
      <w:r w:rsidRPr="00B72F43">
        <w:t>igure 1)</w:t>
      </w:r>
      <w:r w:rsidR="00B477A5" w:rsidRPr="00B72F43">
        <w:t xml:space="preserve">. </w:t>
      </w:r>
      <w:r w:rsidR="00C661F6" w:rsidRPr="00B72F43">
        <w:t xml:space="preserve">Significant improvements </w:t>
      </w:r>
      <w:r w:rsidR="0090013E" w:rsidRPr="00B72F43">
        <w:t xml:space="preserve">in scores </w:t>
      </w:r>
      <w:r w:rsidR="00C661F6" w:rsidRPr="00B72F43">
        <w:t xml:space="preserve">were also found </w:t>
      </w:r>
      <w:r w:rsidR="00407311" w:rsidRPr="00B72F43">
        <w:t>for</w:t>
      </w:r>
      <w:r w:rsidR="0090013E" w:rsidRPr="00B72F43">
        <w:t xml:space="preserve"> </w:t>
      </w:r>
      <w:r w:rsidR="00E3535C" w:rsidRPr="00B72F43">
        <w:t>individual</w:t>
      </w:r>
      <w:r w:rsidR="0090013E" w:rsidRPr="00B72F43">
        <w:t xml:space="preserve"> TFs</w:t>
      </w:r>
      <w:r w:rsidR="00C661F6" w:rsidRPr="00B72F43">
        <w:t xml:space="preserve">. </w:t>
      </w:r>
      <w:r w:rsidR="00E3535C" w:rsidRPr="00B72F43">
        <w:t>Specifically, p</w:t>
      </w:r>
      <w:r w:rsidR="00BD2667" w:rsidRPr="00B72F43">
        <w:t xml:space="preserve">atients reported </w:t>
      </w:r>
      <w:r w:rsidR="00407311" w:rsidRPr="00B72F43">
        <w:t>improved</w:t>
      </w:r>
      <w:r w:rsidR="00BD2667" w:rsidRPr="00B72F43">
        <w:t xml:space="preserve"> scores </w:t>
      </w:r>
      <w:r w:rsidR="00407311" w:rsidRPr="00B72F43">
        <w:t>for</w:t>
      </w:r>
      <w:r w:rsidR="00BD2667" w:rsidRPr="00B72F43">
        <w:t xml:space="preserve"> </w:t>
      </w:r>
      <w:r w:rsidR="00541D87" w:rsidRPr="00B72F43">
        <w:t>Catharsis (</w:t>
      </w:r>
      <w:r w:rsidR="00541D87" w:rsidRPr="00B72F43">
        <w:rPr>
          <w:i/>
        </w:rPr>
        <w:t>p</w:t>
      </w:r>
      <w:r w:rsidR="00541D87" w:rsidRPr="00B72F43">
        <w:t xml:space="preserve"> &lt; .001), </w:t>
      </w:r>
      <w:r w:rsidR="00407311" w:rsidRPr="00B72F43">
        <w:t>C</w:t>
      </w:r>
      <w:r w:rsidR="00BD2667" w:rsidRPr="00B72F43">
        <w:t>ohesion (</w:t>
      </w:r>
      <w:r w:rsidR="00BD2667" w:rsidRPr="00B72F43">
        <w:rPr>
          <w:i/>
        </w:rPr>
        <w:t>p</w:t>
      </w:r>
      <w:r w:rsidR="00BD2667" w:rsidRPr="00B72F43">
        <w:t xml:space="preserve"> = .00</w:t>
      </w:r>
      <w:r w:rsidR="00E304C5" w:rsidRPr="00B72F43">
        <w:t>1</w:t>
      </w:r>
      <w:r w:rsidR="00BD2667" w:rsidRPr="00B72F43">
        <w:t xml:space="preserve">), </w:t>
      </w:r>
      <w:r w:rsidR="00407311" w:rsidRPr="00B72F43">
        <w:t>E</w:t>
      </w:r>
      <w:r w:rsidR="00BD2667" w:rsidRPr="00B72F43">
        <w:t xml:space="preserve">xistential </w:t>
      </w:r>
      <w:r w:rsidR="00407311" w:rsidRPr="00B72F43">
        <w:t>F</w:t>
      </w:r>
      <w:r w:rsidR="00BD2667" w:rsidRPr="00B72F43">
        <w:t>actors (</w:t>
      </w:r>
      <w:r w:rsidR="00BD2667" w:rsidRPr="00B72F43">
        <w:rPr>
          <w:i/>
        </w:rPr>
        <w:t>p</w:t>
      </w:r>
      <w:r w:rsidR="00BD2667" w:rsidRPr="00B72F43">
        <w:t xml:space="preserve"> = .002), and </w:t>
      </w:r>
      <w:r w:rsidR="00407311" w:rsidRPr="00B72F43">
        <w:t>I</w:t>
      </w:r>
      <w:r w:rsidR="00BD2667" w:rsidRPr="00B72F43">
        <w:t xml:space="preserve">nterpersonal </w:t>
      </w:r>
      <w:r w:rsidR="00407311" w:rsidRPr="00B72F43">
        <w:t>L</w:t>
      </w:r>
      <w:r w:rsidR="0090013E" w:rsidRPr="00B72F43">
        <w:t>earning</w:t>
      </w:r>
      <w:r w:rsidR="00BD2667" w:rsidRPr="00B72F43">
        <w:t xml:space="preserve"> (</w:t>
      </w:r>
      <w:r w:rsidR="00BD2667" w:rsidRPr="00B72F43">
        <w:rPr>
          <w:i/>
        </w:rPr>
        <w:t>p</w:t>
      </w:r>
      <w:r w:rsidR="00BD2667" w:rsidRPr="00B72F43">
        <w:t xml:space="preserve"> </w:t>
      </w:r>
      <w:r w:rsidR="00E16E58" w:rsidRPr="00B72F43">
        <w:t>&lt;</w:t>
      </w:r>
      <w:r w:rsidR="00BD2667" w:rsidRPr="00B72F43">
        <w:t xml:space="preserve"> .00</w:t>
      </w:r>
      <w:r w:rsidR="00E16E58" w:rsidRPr="00B72F43">
        <w:t>1)</w:t>
      </w:r>
      <w:r w:rsidR="00BD2667" w:rsidRPr="00B72F43">
        <w:t xml:space="preserve"> </w:t>
      </w:r>
      <w:r w:rsidR="00E16E58" w:rsidRPr="00B72F43">
        <w:t>following participation in MFR</w:t>
      </w:r>
      <w:r w:rsidR="00BD2667" w:rsidRPr="00B72F43">
        <w:t>.</w:t>
      </w:r>
      <w:r w:rsidR="00E16E58" w:rsidRPr="00B72F43">
        <w:t xml:space="preserve"> </w:t>
      </w:r>
    </w:p>
    <w:p w:rsidR="00F8672E" w:rsidRDefault="00F8672E">
      <w:pPr>
        <w:rPr>
          <w:b/>
        </w:rPr>
      </w:pPr>
      <w:r>
        <w:rPr>
          <w:b/>
        </w:rPr>
        <w:br w:type="page"/>
      </w:r>
    </w:p>
    <w:p w:rsidR="00BC3770" w:rsidRDefault="00F8672E" w:rsidP="00BC3770">
      <w:r w:rsidRPr="00B72F43">
        <w:rPr>
          <w:b/>
        </w:rPr>
        <w:lastRenderedPageBreak/>
        <w:t xml:space="preserve">CONCLUSION: </w:t>
      </w:r>
      <w:r w:rsidRPr="00B72F43">
        <w:t>Results suggest that the TCS is a reliable measure of therapeutic change. This scale was able to successfully capture changes in important therapeutic domains that are predictive of patient progress during addiction treatment as well as post-treatment outcomes. MFR participation is shown to enhance these therapeutic factors in patients undergoing residential treatment for substance use disorders as measured by the TCS. MFR may be a promising programmatic element that could enhance engagement and retention in treatment by mobilizing common therapeutic mechanisms that ultimately enhance the likelihood of long-term recovery.</w:t>
      </w:r>
    </w:p>
    <w:p w:rsidR="00BC3770" w:rsidRDefault="00BC3770">
      <w:pPr>
        <w:rPr>
          <w:b/>
        </w:rPr>
      </w:pPr>
      <w:r>
        <w:rPr>
          <w:b/>
        </w:rPr>
        <w:br w:type="page"/>
      </w:r>
    </w:p>
    <w:p w:rsidR="000F4E58" w:rsidRPr="00BC3770" w:rsidRDefault="00C22C14" w:rsidP="00BC3770">
      <w:pPr>
        <w:spacing w:after="0"/>
      </w:pPr>
      <w:r>
        <w:rPr>
          <w:b/>
        </w:rPr>
        <w:lastRenderedPageBreak/>
        <w:t>Table 1</w:t>
      </w:r>
      <w:r w:rsidR="00BC3770">
        <w:rPr>
          <w:b/>
        </w:rPr>
        <w:t>: Means and SDs Pre- and Post- MFR Participation</w:t>
      </w:r>
    </w:p>
    <w:tbl>
      <w:tblPr>
        <w:tblStyle w:val="TableGrid"/>
        <w:tblW w:w="5310" w:type="pct"/>
        <w:tblInd w:w="-162" w:type="dxa"/>
        <w:tblLayout w:type="fixed"/>
        <w:tblLook w:val="04A0"/>
      </w:tblPr>
      <w:tblGrid>
        <w:gridCol w:w="1620"/>
        <w:gridCol w:w="1131"/>
        <w:gridCol w:w="629"/>
        <w:gridCol w:w="584"/>
        <w:gridCol w:w="631"/>
        <w:gridCol w:w="629"/>
        <w:gridCol w:w="450"/>
        <w:gridCol w:w="993"/>
        <w:gridCol w:w="450"/>
        <w:gridCol w:w="720"/>
        <w:gridCol w:w="539"/>
        <w:gridCol w:w="1794"/>
      </w:tblGrid>
      <w:tr w:rsidR="00C22C14" w:rsidRPr="00BC3770" w:rsidTr="00C22C14">
        <w:trPr>
          <w:trHeight w:val="530"/>
        </w:trPr>
        <w:tc>
          <w:tcPr>
            <w:tcW w:w="796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Domain/Scale</w:t>
            </w:r>
          </w:p>
        </w:tc>
        <w:tc>
          <w:tcPr>
            <w:tcW w:w="556" w:type="pct"/>
          </w:tcPr>
          <w:p w:rsidR="00B3034E" w:rsidRPr="00BC3770" w:rsidRDefault="001414D5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Items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PRE M</w:t>
            </w:r>
          </w:p>
        </w:tc>
        <w:tc>
          <w:tcPr>
            <w:tcW w:w="287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PRE SD</w:t>
            </w:r>
          </w:p>
        </w:tc>
        <w:tc>
          <w:tcPr>
            <w:tcW w:w="310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POST M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POST SD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N</w:t>
            </w:r>
          </w:p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</w:p>
        </w:tc>
        <w:tc>
          <w:tcPr>
            <w:tcW w:w="488" w:type="pct"/>
          </w:tcPr>
          <w:p w:rsidR="00B3034E" w:rsidRPr="00BC3770" w:rsidRDefault="00B3034E" w:rsidP="001414D5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95% CI for M diff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proofErr w:type="spellStart"/>
            <w:r w:rsidRPr="00BC3770">
              <w:rPr>
                <w:b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354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65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82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T statistic</w:t>
            </w:r>
          </w:p>
        </w:tc>
      </w:tr>
      <w:tr w:rsidR="00C22C14" w:rsidRPr="00BC3770" w:rsidTr="00C22C14">
        <w:tc>
          <w:tcPr>
            <w:tcW w:w="796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Overall TF</w:t>
            </w:r>
          </w:p>
        </w:tc>
        <w:tc>
          <w:tcPr>
            <w:tcW w:w="556" w:type="pct"/>
          </w:tcPr>
          <w:p w:rsidR="00B3034E" w:rsidRPr="00BC3770" w:rsidRDefault="00C22C14" w:rsidP="00C22C14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 xml:space="preserve">[1] </w:t>
            </w:r>
            <w:proofErr w:type="gramStart"/>
            <w:r w:rsidRPr="00BC3770">
              <w:rPr>
                <w:sz w:val="18"/>
                <w:szCs w:val="18"/>
              </w:rPr>
              <w:t>+</w:t>
            </w:r>
            <w:r w:rsidR="001414D5" w:rsidRPr="00BC3770">
              <w:rPr>
                <w:sz w:val="18"/>
                <w:szCs w:val="18"/>
              </w:rPr>
              <w:t>(</w:t>
            </w:r>
            <w:proofErr w:type="gramEnd"/>
            <w:r w:rsidR="001414D5" w:rsidRPr="00BC3770">
              <w:rPr>
                <w:sz w:val="18"/>
                <w:szCs w:val="18"/>
              </w:rPr>
              <w:t>2+..10)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48.56</w:t>
            </w:r>
          </w:p>
        </w:tc>
        <w:tc>
          <w:tcPr>
            <w:tcW w:w="287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6.72</w:t>
            </w:r>
          </w:p>
        </w:tc>
        <w:tc>
          <w:tcPr>
            <w:tcW w:w="310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50.90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7.82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78</w:t>
            </w:r>
          </w:p>
        </w:tc>
        <w:tc>
          <w:tcPr>
            <w:tcW w:w="488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1.25, 3.44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77</w:t>
            </w:r>
          </w:p>
        </w:tc>
        <w:tc>
          <w:tcPr>
            <w:tcW w:w="354" w:type="pct"/>
          </w:tcPr>
          <w:p w:rsidR="00B3034E" w:rsidRPr="00BC3770" w:rsidRDefault="00B3034E" w:rsidP="00B3034E">
            <w:pPr>
              <w:jc w:val="right"/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4.271</w:t>
            </w:r>
          </w:p>
        </w:tc>
        <w:tc>
          <w:tcPr>
            <w:tcW w:w="265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.000</w:t>
            </w:r>
          </w:p>
        </w:tc>
        <w:tc>
          <w:tcPr>
            <w:tcW w:w="882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i/>
                <w:sz w:val="18"/>
                <w:szCs w:val="18"/>
              </w:rPr>
              <w:t>t</w:t>
            </w:r>
            <w:r w:rsidRPr="00BC3770">
              <w:rPr>
                <w:sz w:val="18"/>
                <w:szCs w:val="18"/>
              </w:rPr>
              <w:t xml:space="preserve">(77) = 4.27, </w:t>
            </w:r>
            <w:r w:rsidRPr="00BC3770">
              <w:rPr>
                <w:i/>
                <w:sz w:val="18"/>
                <w:szCs w:val="18"/>
              </w:rPr>
              <w:t>p</w:t>
            </w:r>
            <w:r w:rsidRPr="00BC3770">
              <w:rPr>
                <w:sz w:val="18"/>
                <w:szCs w:val="18"/>
              </w:rPr>
              <w:t xml:space="preserve"> &lt; .001</w:t>
            </w:r>
          </w:p>
        </w:tc>
      </w:tr>
      <w:tr w:rsidR="00C22C14" w:rsidRPr="00BC3770" w:rsidTr="00C22C14">
        <w:tc>
          <w:tcPr>
            <w:tcW w:w="796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Cohesion</w:t>
            </w:r>
          </w:p>
        </w:tc>
        <w:tc>
          <w:tcPr>
            <w:tcW w:w="556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3 + 10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10.00</w:t>
            </w:r>
          </w:p>
        </w:tc>
        <w:tc>
          <w:tcPr>
            <w:tcW w:w="287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1.81</w:t>
            </w:r>
          </w:p>
        </w:tc>
        <w:tc>
          <w:tcPr>
            <w:tcW w:w="310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10.54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1.86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78</w:t>
            </w:r>
          </w:p>
        </w:tc>
        <w:tc>
          <w:tcPr>
            <w:tcW w:w="488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-.85, -.22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77</w:t>
            </w:r>
          </w:p>
        </w:tc>
        <w:tc>
          <w:tcPr>
            <w:tcW w:w="354" w:type="pct"/>
          </w:tcPr>
          <w:p w:rsidR="00B3034E" w:rsidRPr="00BC3770" w:rsidRDefault="00B3034E" w:rsidP="00B3034E">
            <w:pPr>
              <w:jc w:val="right"/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-3.414</w:t>
            </w:r>
          </w:p>
        </w:tc>
        <w:tc>
          <w:tcPr>
            <w:tcW w:w="265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.001</w:t>
            </w:r>
          </w:p>
        </w:tc>
        <w:tc>
          <w:tcPr>
            <w:tcW w:w="882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i/>
                <w:sz w:val="18"/>
                <w:szCs w:val="18"/>
              </w:rPr>
              <w:t>t</w:t>
            </w:r>
            <w:r w:rsidRPr="00BC3770">
              <w:rPr>
                <w:sz w:val="18"/>
                <w:szCs w:val="18"/>
              </w:rPr>
              <w:t xml:space="preserve">(77) = -3.41, </w:t>
            </w:r>
            <w:r w:rsidRPr="00BC3770">
              <w:rPr>
                <w:i/>
                <w:sz w:val="18"/>
                <w:szCs w:val="18"/>
              </w:rPr>
              <w:t>p</w:t>
            </w:r>
            <w:r w:rsidRPr="00BC3770">
              <w:rPr>
                <w:sz w:val="18"/>
                <w:szCs w:val="18"/>
              </w:rPr>
              <w:t xml:space="preserve"> = .001</w:t>
            </w:r>
          </w:p>
        </w:tc>
      </w:tr>
      <w:tr w:rsidR="00C22C14" w:rsidRPr="00BC3770" w:rsidTr="00C22C14">
        <w:tc>
          <w:tcPr>
            <w:tcW w:w="796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Existential Factors</w:t>
            </w:r>
          </w:p>
        </w:tc>
        <w:tc>
          <w:tcPr>
            <w:tcW w:w="556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5 + 7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10.36</w:t>
            </w:r>
          </w:p>
        </w:tc>
        <w:tc>
          <w:tcPr>
            <w:tcW w:w="287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1.55</w:t>
            </w:r>
          </w:p>
        </w:tc>
        <w:tc>
          <w:tcPr>
            <w:tcW w:w="310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10.74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1.69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78</w:t>
            </w:r>
          </w:p>
        </w:tc>
        <w:tc>
          <w:tcPr>
            <w:tcW w:w="488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-.63, -.14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77</w:t>
            </w:r>
          </w:p>
        </w:tc>
        <w:tc>
          <w:tcPr>
            <w:tcW w:w="354" w:type="pct"/>
          </w:tcPr>
          <w:p w:rsidR="00B3034E" w:rsidRPr="00BC3770" w:rsidRDefault="00B3034E" w:rsidP="00B3034E">
            <w:pPr>
              <w:jc w:val="right"/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-3.134</w:t>
            </w:r>
          </w:p>
        </w:tc>
        <w:tc>
          <w:tcPr>
            <w:tcW w:w="265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.002</w:t>
            </w:r>
          </w:p>
        </w:tc>
        <w:tc>
          <w:tcPr>
            <w:tcW w:w="882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i/>
                <w:sz w:val="18"/>
                <w:szCs w:val="18"/>
              </w:rPr>
              <w:t>t</w:t>
            </w:r>
            <w:r w:rsidRPr="00BC3770">
              <w:rPr>
                <w:sz w:val="18"/>
                <w:szCs w:val="18"/>
              </w:rPr>
              <w:t xml:space="preserve">(77) = -3.13, </w:t>
            </w:r>
            <w:r w:rsidRPr="00BC3770">
              <w:rPr>
                <w:i/>
                <w:sz w:val="18"/>
                <w:szCs w:val="18"/>
              </w:rPr>
              <w:t>p</w:t>
            </w:r>
            <w:r w:rsidRPr="00BC3770">
              <w:rPr>
                <w:sz w:val="18"/>
                <w:szCs w:val="18"/>
              </w:rPr>
              <w:t xml:space="preserve"> = .002</w:t>
            </w:r>
          </w:p>
        </w:tc>
      </w:tr>
      <w:tr w:rsidR="00C22C14" w:rsidRPr="00BC3770" w:rsidTr="00C22C14">
        <w:tc>
          <w:tcPr>
            <w:tcW w:w="796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Catharsis</w:t>
            </w:r>
          </w:p>
        </w:tc>
        <w:tc>
          <w:tcPr>
            <w:tcW w:w="556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4.15</w:t>
            </w:r>
          </w:p>
        </w:tc>
        <w:tc>
          <w:tcPr>
            <w:tcW w:w="287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1.33</w:t>
            </w:r>
          </w:p>
        </w:tc>
        <w:tc>
          <w:tcPr>
            <w:tcW w:w="310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4.80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1.23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78</w:t>
            </w:r>
          </w:p>
        </w:tc>
        <w:tc>
          <w:tcPr>
            <w:tcW w:w="488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-.90, -.38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77</w:t>
            </w:r>
          </w:p>
        </w:tc>
        <w:tc>
          <w:tcPr>
            <w:tcW w:w="354" w:type="pct"/>
          </w:tcPr>
          <w:p w:rsidR="00B3034E" w:rsidRPr="00BC3770" w:rsidRDefault="00B3034E" w:rsidP="00B3034E">
            <w:pPr>
              <w:jc w:val="right"/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-4.920</w:t>
            </w:r>
          </w:p>
        </w:tc>
        <w:tc>
          <w:tcPr>
            <w:tcW w:w="265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.000</w:t>
            </w:r>
          </w:p>
        </w:tc>
        <w:tc>
          <w:tcPr>
            <w:tcW w:w="882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i/>
                <w:sz w:val="18"/>
                <w:szCs w:val="18"/>
              </w:rPr>
              <w:t>t</w:t>
            </w:r>
            <w:r w:rsidRPr="00BC3770">
              <w:rPr>
                <w:sz w:val="18"/>
                <w:szCs w:val="18"/>
              </w:rPr>
              <w:t xml:space="preserve">(77) = -4.92, </w:t>
            </w:r>
            <w:r w:rsidRPr="00BC3770">
              <w:rPr>
                <w:i/>
                <w:sz w:val="18"/>
                <w:szCs w:val="18"/>
              </w:rPr>
              <w:t>p</w:t>
            </w:r>
            <w:r w:rsidRPr="00BC3770">
              <w:rPr>
                <w:sz w:val="18"/>
                <w:szCs w:val="18"/>
              </w:rPr>
              <w:t xml:space="preserve"> &lt; .001</w:t>
            </w:r>
          </w:p>
        </w:tc>
      </w:tr>
      <w:tr w:rsidR="00C22C14" w:rsidRPr="00BC3770" w:rsidTr="00C22C14">
        <w:tc>
          <w:tcPr>
            <w:tcW w:w="796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Interpersonal</w:t>
            </w:r>
          </w:p>
        </w:tc>
        <w:tc>
          <w:tcPr>
            <w:tcW w:w="556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9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4.88</w:t>
            </w:r>
          </w:p>
        </w:tc>
        <w:tc>
          <w:tcPr>
            <w:tcW w:w="287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.96</w:t>
            </w:r>
          </w:p>
        </w:tc>
        <w:tc>
          <w:tcPr>
            <w:tcW w:w="310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5.18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1.07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78</w:t>
            </w:r>
          </w:p>
        </w:tc>
        <w:tc>
          <w:tcPr>
            <w:tcW w:w="488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-.47, -.14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77</w:t>
            </w:r>
          </w:p>
        </w:tc>
        <w:tc>
          <w:tcPr>
            <w:tcW w:w="354" w:type="pct"/>
          </w:tcPr>
          <w:p w:rsidR="00B3034E" w:rsidRPr="00BC3770" w:rsidRDefault="00B3034E" w:rsidP="00B3034E">
            <w:pPr>
              <w:jc w:val="right"/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-3.639</w:t>
            </w:r>
          </w:p>
        </w:tc>
        <w:tc>
          <w:tcPr>
            <w:tcW w:w="265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.000</w:t>
            </w:r>
          </w:p>
        </w:tc>
        <w:tc>
          <w:tcPr>
            <w:tcW w:w="882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i/>
                <w:sz w:val="18"/>
                <w:szCs w:val="18"/>
              </w:rPr>
              <w:t>t</w:t>
            </w:r>
            <w:r w:rsidRPr="00BC3770">
              <w:rPr>
                <w:sz w:val="18"/>
                <w:szCs w:val="18"/>
              </w:rPr>
              <w:t xml:space="preserve">(77) = -3.64, </w:t>
            </w:r>
            <w:r w:rsidRPr="00BC3770">
              <w:rPr>
                <w:i/>
                <w:sz w:val="18"/>
                <w:szCs w:val="18"/>
              </w:rPr>
              <w:t>p</w:t>
            </w:r>
            <w:r w:rsidRPr="00BC3770">
              <w:rPr>
                <w:sz w:val="18"/>
                <w:szCs w:val="18"/>
              </w:rPr>
              <w:t xml:space="preserve"> &lt; .001</w:t>
            </w:r>
          </w:p>
        </w:tc>
      </w:tr>
      <w:tr w:rsidR="00C22C14" w:rsidRPr="00BC3770" w:rsidTr="00C22C14">
        <w:tc>
          <w:tcPr>
            <w:tcW w:w="796" w:type="pct"/>
          </w:tcPr>
          <w:p w:rsidR="00B3034E" w:rsidRPr="00BC3770" w:rsidRDefault="00B3034E" w:rsidP="00B3034E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Universality</w:t>
            </w:r>
          </w:p>
        </w:tc>
        <w:tc>
          <w:tcPr>
            <w:tcW w:w="556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8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5.31</w:t>
            </w:r>
          </w:p>
        </w:tc>
        <w:tc>
          <w:tcPr>
            <w:tcW w:w="287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.80</w:t>
            </w:r>
          </w:p>
        </w:tc>
        <w:tc>
          <w:tcPr>
            <w:tcW w:w="310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5.44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.86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77</w:t>
            </w:r>
          </w:p>
        </w:tc>
        <w:tc>
          <w:tcPr>
            <w:tcW w:w="488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-.29, .05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76</w:t>
            </w:r>
          </w:p>
        </w:tc>
        <w:tc>
          <w:tcPr>
            <w:tcW w:w="354" w:type="pct"/>
          </w:tcPr>
          <w:p w:rsidR="00B3034E" w:rsidRPr="00BC3770" w:rsidRDefault="00B3034E" w:rsidP="00B3034E">
            <w:pPr>
              <w:jc w:val="right"/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-1.438</w:t>
            </w:r>
          </w:p>
        </w:tc>
        <w:tc>
          <w:tcPr>
            <w:tcW w:w="265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.155</w:t>
            </w:r>
          </w:p>
        </w:tc>
        <w:tc>
          <w:tcPr>
            <w:tcW w:w="882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i/>
                <w:sz w:val="18"/>
                <w:szCs w:val="18"/>
              </w:rPr>
              <w:t>t</w:t>
            </w:r>
            <w:r w:rsidRPr="00BC3770">
              <w:rPr>
                <w:sz w:val="18"/>
                <w:szCs w:val="18"/>
              </w:rPr>
              <w:t xml:space="preserve">(76) = -1.44, </w:t>
            </w:r>
            <w:r w:rsidRPr="00BC3770">
              <w:rPr>
                <w:i/>
                <w:sz w:val="18"/>
                <w:szCs w:val="18"/>
              </w:rPr>
              <w:t>p</w:t>
            </w:r>
            <w:r w:rsidRPr="00BC3770">
              <w:rPr>
                <w:sz w:val="18"/>
                <w:szCs w:val="18"/>
              </w:rPr>
              <w:t xml:space="preserve"> = .155</w:t>
            </w:r>
          </w:p>
        </w:tc>
      </w:tr>
      <w:tr w:rsidR="00C22C14" w:rsidRPr="00BC3770" w:rsidTr="00C22C14">
        <w:tc>
          <w:tcPr>
            <w:tcW w:w="796" w:type="pct"/>
          </w:tcPr>
          <w:p w:rsidR="00B3034E" w:rsidRPr="00BC3770" w:rsidRDefault="00B3034E" w:rsidP="001414D5">
            <w:pPr>
              <w:rPr>
                <w:b/>
                <w:sz w:val="18"/>
                <w:szCs w:val="18"/>
              </w:rPr>
            </w:pPr>
            <w:r w:rsidRPr="00BC3770">
              <w:rPr>
                <w:b/>
                <w:sz w:val="18"/>
                <w:szCs w:val="18"/>
              </w:rPr>
              <w:t>Instill of Hope</w:t>
            </w:r>
          </w:p>
        </w:tc>
        <w:tc>
          <w:tcPr>
            <w:tcW w:w="556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[1] + 2 + 4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13.85</w:t>
            </w:r>
          </w:p>
        </w:tc>
        <w:tc>
          <w:tcPr>
            <w:tcW w:w="287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2.11</w:t>
            </w:r>
          </w:p>
        </w:tc>
        <w:tc>
          <w:tcPr>
            <w:tcW w:w="310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14.22</w:t>
            </w:r>
          </w:p>
        </w:tc>
        <w:tc>
          <w:tcPr>
            <w:tcW w:w="309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2.38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78</w:t>
            </w:r>
          </w:p>
        </w:tc>
        <w:tc>
          <w:tcPr>
            <w:tcW w:w="488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-.80, .07</w:t>
            </w:r>
          </w:p>
        </w:tc>
        <w:tc>
          <w:tcPr>
            <w:tcW w:w="221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77</w:t>
            </w:r>
          </w:p>
        </w:tc>
        <w:tc>
          <w:tcPr>
            <w:tcW w:w="354" w:type="pct"/>
          </w:tcPr>
          <w:p w:rsidR="00B3034E" w:rsidRPr="00BC3770" w:rsidRDefault="00B3034E" w:rsidP="00B3034E">
            <w:pPr>
              <w:jc w:val="right"/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-1.688</w:t>
            </w:r>
          </w:p>
        </w:tc>
        <w:tc>
          <w:tcPr>
            <w:tcW w:w="265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sz w:val="18"/>
                <w:szCs w:val="18"/>
              </w:rPr>
              <w:t>.095</w:t>
            </w:r>
          </w:p>
        </w:tc>
        <w:tc>
          <w:tcPr>
            <w:tcW w:w="882" w:type="pct"/>
          </w:tcPr>
          <w:p w:rsidR="00B3034E" w:rsidRPr="00BC3770" w:rsidRDefault="00B3034E" w:rsidP="00B3034E">
            <w:pPr>
              <w:rPr>
                <w:sz w:val="18"/>
                <w:szCs w:val="18"/>
              </w:rPr>
            </w:pPr>
            <w:r w:rsidRPr="00BC3770">
              <w:rPr>
                <w:i/>
                <w:sz w:val="18"/>
                <w:szCs w:val="18"/>
              </w:rPr>
              <w:t>t</w:t>
            </w:r>
            <w:r w:rsidRPr="00BC3770">
              <w:rPr>
                <w:sz w:val="18"/>
                <w:szCs w:val="18"/>
              </w:rPr>
              <w:t xml:space="preserve">(77) = -1.69, </w:t>
            </w:r>
            <w:r w:rsidRPr="00BC3770">
              <w:rPr>
                <w:i/>
                <w:sz w:val="18"/>
                <w:szCs w:val="18"/>
              </w:rPr>
              <w:t>p</w:t>
            </w:r>
            <w:r w:rsidRPr="00BC3770">
              <w:rPr>
                <w:sz w:val="18"/>
                <w:szCs w:val="18"/>
              </w:rPr>
              <w:t xml:space="preserve"> = .095</w:t>
            </w:r>
          </w:p>
        </w:tc>
      </w:tr>
    </w:tbl>
    <w:p w:rsidR="00DB777A" w:rsidRPr="00B72F43" w:rsidRDefault="00BC3770" w:rsidP="002C4D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3119755</wp:posOffset>
            </wp:positionV>
            <wp:extent cx="3762375" cy="3219450"/>
            <wp:effectExtent l="0" t="0" r="0" b="0"/>
            <wp:wrapTopAndBottom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BC377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3733800" cy="2790825"/>
            <wp:effectExtent l="0" t="0" r="0" b="0"/>
            <wp:wrapTopAndBottom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sectPr w:rsidR="00DB777A" w:rsidRPr="00B72F43" w:rsidSect="00B72F4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6B" w:rsidRDefault="00D1356B" w:rsidP="00D72CB9">
      <w:pPr>
        <w:spacing w:after="0" w:line="240" w:lineRule="auto"/>
      </w:pPr>
      <w:r>
        <w:separator/>
      </w:r>
    </w:p>
  </w:endnote>
  <w:endnote w:type="continuationSeparator" w:id="0">
    <w:p w:rsidR="00D1356B" w:rsidRDefault="00D1356B" w:rsidP="00D7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316934"/>
      <w:docPartObj>
        <w:docPartGallery w:val="Page Numbers (Bottom of Page)"/>
        <w:docPartUnique/>
      </w:docPartObj>
    </w:sdtPr>
    <w:sdtContent>
      <w:p w:rsidR="00B72F43" w:rsidRDefault="006E2884">
        <w:pPr>
          <w:pStyle w:val="Footer"/>
          <w:jc w:val="right"/>
        </w:pPr>
        <w:fldSimple w:instr=" PAGE   \* MERGEFORMAT ">
          <w:r w:rsidR="00C0664F">
            <w:rPr>
              <w:noProof/>
            </w:rPr>
            <w:t>2</w:t>
          </w:r>
        </w:fldSimple>
      </w:p>
    </w:sdtContent>
  </w:sdt>
  <w:p w:rsidR="00B72F43" w:rsidRDefault="00B72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6B" w:rsidRDefault="00D1356B" w:rsidP="00D72CB9">
      <w:pPr>
        <w:spacing w:after="0" w:line="240" w:lineRule="auto"/>
      </w:pPr>
      <w:r>
        <w:separator/>
      </w:r>
    </w:p>
  </w:footnote>
  <w:footnote w:type="continuationSeparator" w:id="0">
    <w:p w:rsidR="00D1356B" w:rsidRDefault="00D1356B" w:rsidP="00D7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3769"/>
    <w:multiLevelType w:val="hybridMultilevel"/>
    <w:tmpl w:val="05D4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77B"/>
    <w:rsid w:val="00006866"/>
    <w:rsid w:val="000118E1"/>
    <w:rsid w:val="00015A4F"/>
    <w:rsid w:val="00021BDB"/>
    <w:rsid w:val="00022544"/>
    <w:rsid w:val="00022C47"/>
    <w:rsid w:val="000246DA"/>
    <w:rsid w:val="000352E5"/>
    <w:rsid w:val="0004191D"/>
    <w:rsid w:val="00052A22"/>
    <w:rsid w:val="00057F04"/>
    <w:rsid w:val="00062118"/>
    <w:rsid w:val="000670D5"/>
    <w:rsid w:val="0007538E"/>
    <w:rsid w:val="0008711A"/>
    <w:rsid w:val="00091388"/>
    <w:rsid w:val="000913C3"/>
    <w:rsid w:val="00094120"/>
    <w:rsid w:val="000975A1"/>
    <w:rsid w:val="000A4B18"/>
    <w:rsid w:val="000B03AC"/>
    <w:rsid w:val="000B1067"/>
    <w:rsid w:val="000B1B66"/>
    <w:rsid w:val="000C2ABE"/>
    <w:rsid w:val="000C7E19"/>
    <w:rsid w:val="000D10C3"/>
    <w:rsid w:val="000E1969"/>
    <w:rsid w:val="000F0227"/>
    <w:rsid w:val="000F4E58"/>
    <w:rsid w:val="00100D31"/>
    <w:rsid w:val="001012B8"/>
    <w:rsid w:val="00111EF3"/>
    <w:rsid w:val="00124C64"/>
    <w:rsid w:val="00131C74"/>
    <w:rsid w:val="001349F8"/>
    <w:rsid w:val="0014064B"/>
    <w:rsid w:val="0014122C"/>
    <w:rsid w:val="0014143E"/>
    <w:rsid w:val="001414D5"/>
    <w:rsid w:val="00141CE5"/>
    <w:rsid w:val="00157306"/>
    <w:rsid w:val="00170889"/>
    <w:rsid w:val="00174B85"/>
    <w:rsid w:val="00182E09"/>
    <w:rsid w:val="00184DAB"/>
    <w:rsid w:val="00187750"/>
    <w:rsid w:val="00187895"/>
    <w:rsid w:val="00191596"/>
    <w:rsid w:val="001A51B6"/>
    <w:rsid w:val="001B22E4"/>
    <w:rsid w:val="001B3FE5"/>
    <w:rsid w:val="001B6073"/>
    <w:rsid w:val="001C0B2F"/>
    <w:rsid w:val="001D50A2"/>
    <w:rsid w:val="001D6182"/>
    <w:rsid w:val="001E42A5"/>
    <w:rsid w:val="001E6522"/>
    <w:rsid w:val="001E7172"/>
    <w:rsid w:val="001F1FC8"/>
    <w:rsid w:val="001F52C3"/>
    <w:rsid w:val="001F634D"/>
    <w:rsid w:val="001F795C"/>
    <w:rsid w:val="002111BF"/>
    <w:rsid w:val="00231B34"/>
    <w:rsid w:val="00233148"/>
    <w:rsid w:val="00234122"/>
    <w:rsid w:val="00240C14"/>
    <w:rsid w:val="0024271C"/>
    <w:rsid w:val="00244F1F"/>
    <w:rsid w:val="00247AB1"/>
    <w:rsid w:val="002632CF"/>
    <w:rsid w:val="00271DF4"/>
    <w:rsid w:val="002745A5"/>
    <w:rsid w:val="00276541"/>
    <w:rsid w:val="0028123D"/>
    <w:rsid w:val="00281517"/>
    <w:rsid w:val="00283066"/>
    <w:rsid w:val="00285F96"/>
    <w:rsid w:val="002927D9"/>
    <w:rsid w:val="00294AFF"/>
    <w:rsid w:val="0029639A"/>
    <w:rsid w:val="00296697"/>
    <w:rsid w:val="002A5612"/>
    <w:rsid w:val="002B75CE"/>
    <w:rsid w:val="002C0417"/>
    <w:rsid w:val="002C4DCD"/>
    <w:rsid w:val="002C72EC"/>
    <w:rsid w:val="002E18AE"/>
    <w:rsid w:val="002E4C86"/>
    <w:rsid w:val="002E5F62"/>
    <w:rsid w:val="002E6ACA"/>
    <w:rsid w:val="002E7B33"/>
    <w:rsid w:val="002F2E9E"/>
    <w:rsid w:val="003053FC"/>
    <w:rsid w:val="003124B9"/>
    <w:rsid w:val="00314BCF"/>
    <w:rsid w:val="003156BA"/>
    <w:rsid w:val="00317682"/>
    <w:rsid w:val="0032581C"/>
    <w:rsid w:val="00330976"/>
    <w:rsid w:val="003431AD"/>
    <w:rsid w:val="003501E2"/>
    <w:rsid w:val="0035534D"/>
    <w:rsid w:val="00355CF6"/>
    <w:rsid w:val="003570FA"/>
    <w:rsid w:val="00361152"/>
    <w:rsid w:val="0036220C"/>
    <w:rsid w:val="0036419D"/>
    <w:rsid w:val="0037024A"/>
    <w:rsid w:val="00371A99"/>
    <w:rsid w:val="00373015"/>
    <w:rsid w:val="00377A07"/>
    <w:rsid w:val="00383735"/>
    <w:rsid w:val="003900AA"/>
    <w:rsid w:val="00390997"/>
    <w:rsid w:val="003920E8"/>
    <w:rsid w:val="00394587"/>
    <w:rsid w:val="003961EF"/>
    <w:rsid w:val="003A06E7"/>
    <w:rsid w:val="003A0C37"/>
    <w:rsid w:val="003B256D"/>
    <w:rsid w:val="003B7DB2"/>
    <w:rsid w:val="003C0E00"/>
    <w:rsid w:val="003D106C"/>
    <w:rsid w:val="003D23F6"/>
    <w:rsid w:val="003D2964"/>
    <w:rsid w:val="003F3309"/>
    <w:rsid w:val="003F4CAD"/>
    <w:rsid w:val="00403355"/>
    <w:rsid w:val="00407311"/>
    <w:rsid w:val="00407BF2"/>
    <w:rsid w:val="0041150D"/>
    <w:rsid w:val="004200E3"/>
    <w:rsid w:val="0042276A"/>
    <w:rsid w:val="00423857"/>
    <w:rsid w:val="004261AB"/>
    <w:rsid w:val="00434A73"/>
    <w:rsid w:val="0043731E"/>
    <w:rsid w:val="00456E83"/>
    <w:rsid w:val="00466B08"/>
    <w:rsid w:val="00471B56"/>
    <w:rsid w:val="00474EBE"/>
    <w:rsid w:val="00484FBC"/>
    <w:rsid w:val="00485C3E"/>
    <w:rsid w:val="004A355A"/>
    <w:rsid w:val="004B1BC4"/>
    <w:rsid w:val="004E5FF6"/>
    <w:rsid w:val="004F1532"/>
    <w:rsid w:val="004F3D1F"/>
    <w:rsid w:val="004F472E"/>
    <w:rsid w:val="00502741"/>
    <w:rsid w:val="005059AE"/>
    <w:rsid w:val="00513B85"/>
    <w:rsid w:val="0052130F"/>
    <w:rsid w:val="00522FEC"/>
    <w:rsid w:val="00527D7F"/>
    <w:rsid w:val="00530F5F"/>
    <w:rsid w:val="00535A54"/>
    <w:rsid w:val="00541D87"/>
    <w:rsid w:val="00551AB9"/>
    <w:rsid w:val="00554154"/>
    <w:rsid w:val="005641BA"/>
    <w:rsid w:val="00573917"/>
    <w:rsid w:val="005922D5"/>
    <w:rsid w:val="005938EC"/>
    <w:rsid w:val="00595AB5"/>
    <w:rsid w:val="00595B14"/>
    <w:rsid w:val="005A52BF"/>
    <w:rsid w:val="005A5981"/>
    <w:rsid w:val="005B0447"/>
    <w:rsid w:val="005B0A03"/>
    <w:rsid w:val="005B2C56"/>
    <w:rsid w:val="005B40B8"/>
    <w:rsid w:val="005B7655"/>
    <w:rsid w:val="005C1466"/>
    <w:rsid w:val="005C3B5B"/>
    <w:rsid w:val="005D30AA"/>
    <w:rsid w:val="005E62FE"/>
    <w:rsid w:val="00601708"/>
    <w:rsid w:val="00601DDA"/>
    <w:rsid w:val="00615CC8"/>
    <w:rsid w:val="00621B07"/>
    <w:rsid w:val="00623F19"/>
    <w:rsid w:val="00634AE1"/>
    <w:rsid w:val="006406BB"/>
    <w:rsid w:val="006422CD"/>
    <w:rsid w:val="006430F3"/>
    <w:rsid w:val="00647FA6"/>
    <w:rsid w:val="00650ABF"/>
    <w:rsid w:val="00651FC5"/>
    <w:rsid w:val="00657663"/>
    <w:rsid w:val="006578A1"/>
    <w:rsid w:val="006608F0"/>
    <w:rsid w:val="0066487C"/>
    <w:rsid w:val="00671A84"/>
    <w:rsid w:val="006737F5"/>
    <w:rsid w:val="006763B2"/>
    <w:rsid w:val="006929DB"/>
    <w:rsid w:val="006C4504"/>
    <w:rsid w:val="006C57C1"/>
    <w:rsid w:val="006C7280"/>
    <w:rsid w:val="006D588C"/>
    <w:rsid w:val="006D6D76"/>
    <w:rsid w:val="006E2884"/>
    <w:rsid w:val="00704607"/>
    <w:rsid w:val="00707705"/>
    <w:rsid w:val="00716148"/>
    <w:rsid w:val="0071667E"/>
    <w:rsid w:val="0072540C"/>
    <w:rsid w:val="00730A30"/>
    <w:rsid w:val="00732A21"/>
    <w:rsid w:val="007422B2"/>
    <w:rsid w:val="0074477A"/>
    <w:rsid w:val="0075169E"/>
    <w:rsid w:val="00753131"/>
    <w:rsid w:val="00762EF1"/>
    <w:rsid w:val="007672FE"/>
    <w:rsid w:val="00783D61"/>
    <w:rsid w:val="00784823"/>
    <w:rsid w:val="00787FFB"/>
    <w:rsid w:val="00793D2D"/>
    <w:rsid w:val="007A396B"/>
    <w:rsid w:val="007B27F4"/>
    <w:rsid w:val="007B4498"/>
    <w:rsid w:val="007B519F"/>
    <w:rsid w:val="007C1152"/>
    <w:rsid w:val="007C3953"/>
    <w:rsid w:val="007E383E"/>
    <w:rsid w:val="007E3A90"/>
    <w:rsid w:val="007E5ECE"/>
    <w:rsid w:val="007E6F97"/>
    <w:rsid w:val="007E7BE1"/>
    <w:rsid w:val="007F2109"/>
    <w:rsid w:val="007F2F4B"/>
    <w:rsid w:val="007F3082"/>
    <w:rsid w:val="007F5777"/>
    <w:rsid w:val="007F7C8C"/>
    <w:rsid w:val="0081286B"/>
    <w:rsid w:val="00812F24"/>
    <w:rsid w:val="00817240"/>
    <w:rsid w:val="0083170B"/>
    <w:rsid w:val="008322DC"/>
    <w:rsid w:val="0083411E"/>
    <w:rsid w:val="0084352A"/>
    <w:rsid w:val="00846C57"/>
    <w:rsid w:val="0084766E"/>
    <w:rsid w:val="008608D2"/>
    <w:rsid w:val="00861AAA"/>
    <w:rsid w:val="00865579"/>
    <w:rsid w:val="00865D3F"/>
    <w:rsid w:val="00873F4E"/>
    <w:rsid w:val="00883F8C"/>
    <w:rsid w:val="008A1A25"/>
    <w:rsid w:val="008A2529"/>
    <w:rsid w:val="008A4581"/>
    <w:rsid w:val="008B121E"/>
    <w:rsid w:val="008B4513"/>
    <w:rsid w:val="008B6564"/>
    <w:rsid w:val="008B75A4"/>
    <w:rsid w:val="008B797E"/>
    <w:rsid w:val="008C60FD"/>
    <w:rsid w:val="008D1AAF"/>
    <w:rsid w:val="008D5BB1"/>
    <w:rsid w:val="008D63C5"/>
    <w:rsid w:val="008E0A6B"/>
    <w:rsid w:val="008E4116"/>
    <w:rsid w:val="008E56C4"/>
    <w:rsid w:val="008E7065"/>
    <w:rsid w:val="008F6A78"/>
    <w:rsid w:val="0090013E"/>
    <w:rsid w:val="0090272A"/>
    <w:rsid w:val="0091106D"/>
    <w:rsid w:val="00912DD3"/>
    <w:rsid w:val="00924CD7"/>
    <w:rsid w:val="00930B80"/>
    <w:rsid w:val="00935E12"/>
    <w:rsid w:val="00936C58"/>
    <w:rsid w:val="009434D2"/>
    <w:rsid w:val="00947300"/>
    <w:rsid w:val="00963617"/>
    <w:rsid w:val="00965EDF"/>
    <w:rsid w:val="00966C22"/>
    <w:rsid w:val="00970406"/>
    <w:rsid w:val="0097120D"/>
    <w:rsid w:val="00971DD6"/>
    <w:rsid w:val="00984EBE"/>
    <w:rsid w:val="00997026"/>
    <w:rsid w:val="00997393"/>
    <w:rsid w:val="00997CF7"/>
    <w:rsid w:val="009B3D33"/>
    <w:rsid w:val="009B5C83"/>
    <w:rsid w:val="009B6758"/>
    <w:rsid w:val="009B7C5A"/>
    <w:rsid w:val="009C2007"/>
    <w:rsid w:val="009D1BAC"/>
    <w:rsid w:val="009E061B"/>
    <w:rsid w:val="009E5716"/>
    <w:rsid w:val="009F28F1"/>
    <w:rsid w:val="009F2A51"/>
    <w:rsid w:val="00A026B7"/>
    <w:rsid w:val="00A231E1"/>
    <w:rsid w:val="00A400E9"/>
    <w:rsid w:val="00A4634A"/>
    <w:rsid w:val="00A52528"/>
    <w:rsid w:val="00A5449C"/>
    <w:rsid w:val="00A5454E"/>
    <w:rsid w:val="00A5475C"/>
    <w:rsid w:val="00A56062"/>
    <w:rsid w:val="00A615D0"/>
    <w:rsid w:val="00A76D24"/>
    <w:rsid w:val="00A814B6"/>
    <w:rsid w:val="00A8500A"/>
    <w:rsid w:val="00A97282"/>
    <w:rsid w:val="00AB09B2"/>
    <w:rsid w:val="00AB1081"/>
    <w:rsid w:val="00AB7DDC"/>
    <w:rsid w:val="00AC67B5"/>
    <w:rsid w:val="00AD0920"/>
    <w:rsid w:val="00AD489F"/>
    <w:rsid w:val="00AE515E"/>
    <w:rsid w:val="00AF2B0A"/>
    <w:rsid w:val="00B04422"/>
    <w:rsid w:val="00B057F1"/>
    <w:rsid w:val="00B11A94"/>
    <w:rsid w:val="00B12375"/>
    <w:rsid w:val="00B13678"/>
    <w:rsid w:val="00B24E08"/>
    <w:rsid w:val="00B2646E"/>
    <w:rsid w:val="00B3034E"/>
    <w:rsid w:val="00B31A78"/>
    <w:rsid w:val="00B4403E"/>
    <w:rsid w:val="00B46F3D"/>
    <w:rsid w:val="00B47434"/>
    <w:rsid w:val="00B477A5"/>
    <w:rsid w:val="00B53EA4"/>
    <w:rsid w:val="00B543EF"/>
    <w:rsid w:val="00B5533D"/>
    <w:rsid w:val="00B60906"/>
    <w:rsid w:val="00B618E3"/>
    <w:rsid w:val="00B61965"/>
    <w:rsid w:val="00B61BAE"/>
    <w:rsid w:val="00B6336E"/>
    <w:rsid w:val="00B70AB1"/>
    <w:rsid w:val="00B72F43"/>
    <w:rsid w:val="00B74CAE"/>
    <w:rsid w:val="00B82E9F"/>
    <w:rsid w:val="00BA2AFE"/>
    <w:rsid w:val="00BA6628"/>
    <w:rsid w:val="00BC08FB"/>
    <w:rsid w:val="00BC3770"/>
    <w:rsid w:val="00BC5B4E"/>
    <w:rsid w:val="00BC65F0"/>
    <w:rsid w:val="00BC6AA9"/>
    <w:rsid w:val="00BD2667"/>
    <w:rsid w:val="00BD5054"/>
    <w:rsid w:val="00BD7D9D"/>
    <w:rsid w:val="00BE299F"/>
    <w:rsid w:val="00BE7B41"/>
    <w:rsid w:val="00BF0E00"/>
    <w:rsid w:val="00BF140E"/>
    <w:rsid w:val="00BF1DB2"/>
    <w:rsid w:val="00BF6AD3"/>
    <w:rsid w:val="00C0664F"/>
    <w:rsid w:val="00C071D6"/>
    <w:rsid w:val="00C14B3D"/>
    <w:rsid w:val="00C15A95"/>
    <w:rsid w:val="00C22C14"/>
    <w:rsid w:val="00C230AE"/>
    <w:rsid w:val="00C239F6"/>
    <w:rsid w:val="00C27E72"/>
    <w:rsid w:val="00C34E16"/>
    <w:rsid w:val="00C3748F"/>
    <w:rsid w:val="00C4132F"/>
    <w:rsid w:val="00C42E0F"/>
    <w:rsid w:val="00C5125D"/>
    <w:rsid w:val="00C558AC"/>
    <w:rsid w:val="00C64123"/>
    <w:rsid w:val="00C661F6"/>
    <w:rsid w:val="00C70798"/>
    <w:rsid w:val="00C71F16"/>
    <w:rsid w:val="00C73CBE"/>
    <w:rsid w:val="00C90C9B"/>
    <w:rsid w:val="00C92594"/>
    <w:rsid w:val="00C95C4F"/>
    <w:rsid w:val="00CA6EBD"/>
    <w:rsid w:val="00CB0A8C"/>
    <w:rsid w:val="00CB1346"/>
    <w:rsid w:val="00CB4C84"/>
    <w:rsid w:val="00CB740F"/>
    <w:rsid w:val="00CC73D1"/>
    <w:rsid w:val="00CD0038"/>
    <w:rsid w:val="00CD1A04"/>
    <w:rsid w:val="00CE3CEB"/>
    <w:rsid w:val="00CE3FB1"/>
    <w:rsid w:val="00CE616B"/>
    <w:rsid w:val="00CE6B2F"/>
    <w:rsid w:val="00CF23FD"/>
    <w:rsid w:val="00CF2AFD"/>
    <w:rsid w:val="00D0508A"/>
    <w:rsid w:val="00D072BB"/>
    <w:rsid w:val="00D1356B"/>
    <w:rsid w:val="00D1360D"/>
    <w:rsid w:val="00D13E2C"/>
    <w:rsid w:val="00D14782"/>
    <w:rsid w:val="00D15799"/>
    <w:rsid w:val="00D16340"/>
    <w:rsid w:val="00D164B5"/>
    <w:rsid w:val="00D17D30"/>
    <w:rsid w:val="00D22D86"/>
    <w:rsid w:val="00D25B88"/>
    <w:rsid w:val="00D3377B"/>
    <w:rsid w:val="00D36194"/>
    <w:rsid w:val="00D43E2B"/>
    <w:rsid w:val="00D45469"/>
    <w:rsid w:val="00D4778E"/>
    <w:rsid w:val="00D549F1"/>
    <w:rsid w:val="00D72CB9"/>
    <w:rsid w:val="00D74CF9"/>
    <w:rsid w:val="00D80644"/>
    <w:rsid w:val="00D92010"/>
    <w:rsid w:val="00D940B3"/>
    <w:rsid w:val="00D959BD"/>
    <w:rsid w:val="00D96A53"/>
    <w:rsid w:val="00DA336B"/>
    <w:rsid w:val="00DA49FD"/>
    <w:rsid w:val="00DA791C"/>
    <w:rsid w:val="00DB0962"/>
    <w:rsid w:val="00DB5C4C"/>
    <w:rsid w:val="00DB777A"/>
    <w:rsid w:val="00DC5899"/>
    <w:rsid w:val="00DC5D0D"/>
    <w:rsid w:val="00DC7D8B"/>
    <w:rsid w:val="00DD01D3"/>
    <w:rsid w:val="00DD3E90"/>
    <w:rsid w:val="00DD52F4"/>
    <w:rsid w:val="00DE14DF"/>
    <w:rsid w:val="00DE341A"/>
    <w:rsid w:val="00DF6606"/>
    <w:rsid w:val="00E00CD4"/>
    <w:rsid w:val="00E05D1D"/>
    <w:rsid w:val="00E12FAC"/>
    <w:rsid w:val="00E15DAF"/>
    <w:rsid w:val="00E16E58"/>
    <w:rsid w:val="00E201ED"/>
    <w:rsid w:val="00E23381"/>
    <w:rsid w:val="00E304C5"/>
    <w:rsid w:val="00E31CD3"/>
    <w:rsid w:val="00E32D0B"/>
    <w:rsid w:val="00E34892"/>
    <w:rsid w:val="00E34B66"/>
    <w:rsid w:val="00E3535C"/>
    <w:rsid w:val="00E43F79"/>
    <w:rsid w:val="00E508E0"/>
    <w:rsid w:val="00E51F78"/>
    <w:rsid w:val="00E54164"/>
    <w:rsid w:val="00E568DC"/>
    <w:rsid w:val="00E56C22"/>
    <w:rsid w:val="00E616EC"/>
    <w:rsid w:val="00E61EBE"/>
    <w:rsid w:val="00E62110"/>
    <w:rsid w:val="00E631F4"/>
    <w:rsid w:val="00E7459C"/>
    <w:rsid w:val="00E84B99"/>
    <w:rsid w:val="00E93DEA"/>
    <w:rsid w:val="00EA2EBA"/>
    <w:rsid w:val="00EA484C"/>
    <w:rsid w:val="00EA629A"/>
    <w:rsid w:val="00EB2254"/>
    <w:rsid w:val="00EB521C"/>
    <w:rsid w:val="00EC38A4"/>
    <w:rsid w:val="00EC691D"/>
    <w:rsid w:val="00ED66CD"/>
    <w:rsid w:val="00EE5E3E"/>
    <w:rsid w:val="00EE6F74"/>
    <w:rsid w:val="00EE707F"/>
    <w:rsid w:val="00EE7359"/>
    <w:rsid w:val="00EF2E49"/>
    <w:rsid w:val="00EF77FD"/>
    <w:rsid w:val="00EF780B"/>
    <w:rsid w:val="00F00A48"/>
    <w:rsid w:val="00F01930"/>
    <w:rsid w:val="00F05BDA"/>
    <w:rsid w:val="00F21C14"/>
    <w:rsid w:val="00F22A51"/>
    <w:rsid w:val="00F25516"/>
    <w:rsid w:val="00F30609"/>
    <w:rsid w:val="00F35ED5"/>
    <w:rsid w:val="00F406DD"/>
    <w:rsid w:val="00F40A42"/>
    <w:rsid w:val="00F430ED"/>
    <w:rsid w:val="00F43468"/>
    <w:rsid w:val="00F44B1D"/>
    <w:rsid w:val="00F50DE8"/>
    <w:rsid w:val="00F536E9"/>
    <w:rsid w:val="00F70CE7"/>
    <w:rsid w:val="00F75507"/>
    <w:rsid w:val="00F7713C"/>
    <w:rsid w:val="00F829F9"/>
    <w:rsid w:val="00F82C02"/>
    <w:rsid w:val="00F8672E"/>
    <w:rsid w:val="00F87181"/>
    <w:rsid w:val="00F90D89"/>
    <w:rsid w:val="00F9620D"/>
    <w:rsid w:val="00FA375C"/>
    <w:rsid w:val="00FA601A"/>
    <w:rsid w:val="00FB0F15"/>
    <w:rsid w:val="00FB1E4D"/>
    <w:rsid w:val="00FB26C6"/>
    <w:rsid w:val="00FB2B89"/>
    <w:rsid w:val="00FB6932"/>
    <w:rsid w:val="00FC01F2"/>
    <w:rsid w:val="00FC1489"/>
    <w:rsid w:val="00FC22F8"/>
    <w:rsid w:val="00FC3044"/>
    <w:rsid w:val="00FC5F16"/>
    <w:rsid w:val="00FD1664"/>
    <w:rsid w:val="00FD4EC5"/>
    <w:rsid w:val="00FE358C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CB9"/>
  </w:style>
  <w:style w:type="paragraph" w:styleId="Footer">
    <w:name w:val="footer"/>
    <w:basedOn w:val="Normal"/>
    <w:link w:val="FooterChar"/>
    <w:uiPriority w:val="99"/>
    <w:unhideWhenUsed/>
    <w:rsid w:val="00D7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B9"/>
  </w:style>
  <w:style w:type="paragraph" w:styleId="ListParagraph">
    <w:name w:val="List Paragraph"/>
    <w:basedOn w:val="Normal"/>
    <w:uiPriority w:val="34"/>
    <w:qFormat/>
    <w:rsid w:val="00EF2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050"/>
            </a:pPr>
            <a:r>
              <a:rPr lang="en-US" sz="1050"/>
              <a:t>Figure 1. </a:t>
            </a:r>
          </a:p>
          <a:p>
            <a:pPr algn="l">
              <a:defRPr sz="1050"/>
            </a:pPr>
            <a:r>
              <a:rPr lang="en-US" sz="900"/>
              <a:t>Overall TCS Scores Before and After MFR Participation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Overall TF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48.56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Overall TF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50.9</c:v>
                </c:pt>
              </c:numCache>
            </c:numRef>
          </c:val>
        </c:ser>
        <c:axId val="123446400"/>
        <c:axId val="123535744"/>
      </c:barChart>
      <c:catAx>
        <c:axId val="123446400"/>
        <c:scaling>
          <c:orientation val="minMax"/>
        </c:scaling>
        <c:delete val="1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 vs. Post</a:t>
                </a:r>
                <a:r>
                  <a:rPr lang="en-US" baseline="0"/>
                  <a:t> MFR Participation</a:t>
                </a:r>
                <a:endParaRPr lang="en-US"/>
              </a:p>
            </c:rich>
          </c:tx>
        </c:title>
        <c:majorTickMark val="none"/>
        <c:tickLblPos val="none"/>
        <c:crossAx val="123535744"/>
        <c:crosses val="autoZero"/>
        <c:auto val="1"/>
        <c:lblAlgn val="ctr"/>
        <c:lblOffset val="100"/>
      </c:catAx>
      <c:valAx>
        <c:axId val="123535744"/>
        <c:scaling>
          <c:orientation val="minMax"/>
          <c:max val="60"/>
          <c:min val="4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</a:t>
                </a:r>
                <a:r>
                  <a:rPr lang="en-US" baseline="0"/>
                  <a:t> Score (6 to 60)</a:t>
                </a:r>
                <a:endParaRPr lang="en-US"/>
              </a:p>
            </c:rich>
          </c:tx>
        </c:title>
        <c:numFmt formatCode="General" sourceLinked="1"/>
        <c:tickLblPos val="nextTo"/>
        <c:crossAx val="123446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000"/>
            </a:pPr>
            <a:r>
              <a:rPr lang="en-US" sz="1000"/>
              <a:t>Figure 3.</a:t>
            </a:r>
          </a:p>
          <a:p>
            <a:pPr algn="l">
              <a:defRPr sz="1000"/>
            </a:pPr>
            <a:r>
              <a:rPr lang="en-US" sz="1000"/>
              <a:t>Change in Scores Following</a:t>
            </a:r>
            <a:r>
              <a:rPr lang="en-US" sz="1000" baseline="0"/>
              <a:t> MFR Participation</a:t>
            </a:r>
            <a:endParaRPr lang="en-US" sz="1000"/>
          </a:p>
        </c:rich>
      </c:tx>
    </c:title>
    <c:plotArea>
      <c:layout>
        <c:manualLayout>
          <c:layoutTarget val="inner"/>
          <c:xMode val="edge"/>
          <c:yMode val="edge"/>
          <c:x val="0.18469477391275457"/>
          <c:y val="0.17559179362934671"/>
          <c:w val="0.6408428186982964"/>
          <c:h val="0.6782478373635257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Cohesion</c:v>
                </c:pt>
                <c:pt idx="1">
                  <c:v>Existential Factors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10.360000000000015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Cohesion</c:v>
                </c:pt>
                <c:pt idx="1">
                  <c:v>Existential Factors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10.54</c:v>
                </c:pt>
                <c:pt idx="1">
                  <c:v>10.739999999999998</c:v>
                </c:pt>
              </c:numCache>
            </c:numRef>
          </c:val>
        </c:ser>
        <c:axId val="129043456"/>
        <c:axId val="129880832"/>
      </c:barChart>
      <c:catAx>
        <c:axId val="1290434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29880832"/>
        <c:crosses val="autoZero"/>
        <c:auto val="1"/>
        <c:lblAlgn val="ctr"/>
        <c:lblOffset val="100"/>
      </c:catAx>
      <c:valAx>
        <c:axId val="129880832"/>
        <c:scaling>
          <c:orientation val="minMax"/>
          <c:max val="11"/>
          <c:min val="9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Score (2 to</a:t>
                </a:r>
                <a:r>
                  <a:rPr lang="en-US" baseline="0"/>
                  <a:t> 12)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290434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000"/>
            </a:pPr>
            <a:r>
              <a:rPr lang="en-US" sz="1000"/>
              <a:t>Figure 2.</a:t>
            </a:r>
            <a:r>
              <a:rPr lang="en-US" sz="1000" baseline="0"/>
              <a:t> </a:t>
            </a:r>
          </a:p>
          <a:p>
            <a:pPr algn="l">
              <a:defRPr sz="1000"/>
            </a:pPr>
            <a:r>
              <a:rPr lang="en-US" sz="1000" baseline="0"/>
              <a:t>Change in Scores Following MFR Participation</a:t>
            </a:r>
            <a:endParaRPr lang="en-US" sz="10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Catharsis</c:v>
                </c:pt>
                <c:pt idx="1">
                  <c:v>Interpersonal</c:v>
                </c:pt>
                <c:pt idx="2">
                  <c:v>Universality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4.1499999999999995</c:v>
                </c:pt>
                <c:pt idx="1">
                  <c:v>4.88</c:v>
                </c:pt>
                <c:pt idx="2">
                  <c:v>5.31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Catharsis</c:v>
                </c:pt>
                <c:pt idx="1">
                  <c:v>Interpersonal</c:v>
                </c:pt>
                <c:pt idx="2">
                  <c:v>Universality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4.8</c:v>
                </c:pt>
                <c:pt idx="1">
                  <c:v>5.18</c:v>
                </c:pt>
                <c:pt idx="2">
                  <c:v>5.44</c:v>
                </c:pt>
              </c:numCache>
            </c:numRef>
          </c:val>
        </c:ser>
        <c:axId val="144849536"/>
        <c:axId val="145052416"/>
      </c:barChart>
      <c:catAx>
        <c:axId val="14484953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45052416"/>
        <c:crosses val="autoZero"/>
        <c:auto val="1"/>
        <c:lblAlgn val="ctr"/>
        <c:lblOffset val="100"/>
      </c:catAx>
      <c:valAx>
        <c:axId val="145052416"/>
        <c:scaling>
          <c:orientation val="minMax"/>
          <c:min val="3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Score (1 to 6)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448495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 Fallah-Sohy</dc:creator>
  <cp:lastModifiedBy>jk755-1</cp:lastModifiedBy>
  <cp:revision>2</cp:revision>
  <cp:lastPrinted>2015-11-30T21:22:00Z</cp:lastPrinted>
  <dcterms:created xsi:type="dcterms:W3CDTF">2015-12-02T22:53:00Z</dcterms:created>
  <dcterms:modified xsi:type="dcterms:W3CDTF">2015-12-02T22:53:00Z</dcterms:modified>
</cp:coreProperties>
</file>